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C61" w:rsidRPr="002C2ED3" w:rsidRDefault="00A62C61" w:rsidP="002C2ED3">
      <w:pPr>
        <w:pStyle w:val="Title"/>
        <w:jc w:val="center"/>
        <w:rPr>
          <w:rFonts w:cs="David"/>
          <w:b/>
          <w:bCs/>
          <w:color w:val="auto"/>
          <w:sz w:val="28"/>
          <w:szCs w:val="28"/>
          <w:rtl/>
        </w:rPr>
      </w:pPr>
      <w:bookmarkStart w:id="0" w:name="_GoBack"/>
      <w:bookmarkEnd w:id="0"/>
      <w:r w:rsidRPr="002C2ED3">
        <w:rPr>
          <w:rFonts w:cs="David" w:hint="cs"/>
          <w:b/>
          <w:bCs/>
          <w:color w:val="auto"/>
          <w:sz w:val="28"/>
          <w:szCs w:val="28"/>
          <w:rtl/>
        </w:rPr>
        <w:t>החלטת הממונה על הגבלים עסקיים להטיל עיצום כספי, בהסכמה, לפי סעיף 27(ב)</w:t>
      </w:r>
      <w:r w:rsidRPr="002C2ED3">
        <w:rPr>
          <w:rFonts w:cs="David"/>
          <w:b/>
          <w:bCs/>
          <w:color w:val="auto"/>
          <w:sz w:val="28"/>
          <w:szCs w:val="28"/>
        </w:rPr>
        <w:t xml:space="preserve"> </w:t>
      </w:r>
      <w:r w:rsidRPr="002C2ED3">
        <w:rPr>
          <w:rFonts w:cs="David" w:hint="cs"/>
          <w:b/>
          <w:bCs/>
          <w:color w:val="auto"/>
          <w:sz w:val="28"/>
          <w:szCs w:val="28"/>
          <w:rtl/>
        </w:rPr>
        <w:t>לחוק קידום התחרות בענף המזון על קשת טעמים בע"מ</w:t>
      </w:r>
    </w:p>
    <w:p w:rsidR="00A62C61" w:rsidRDefault="00A62C61" w:rsidP="00A62C61">
      <w:pPr>
        <w:pStyle w:val="1"/>
        <w:numPr>
          <w:ilvl w:val="0"/>
          <w:numId w:val="0"/>
        </w:numPr>
        <w:ind w:left="360" w:hanging="360"/>
        <w:rPr>
          <w:rtl/>
        </w:rPr>
      </w:pPr>
    </w:p>
    <w:p w:rsidR="00A62C61" w:rsidRPr="002C2ED3" w:rsidRDefault="00A62C61" w:rsidP="002C2ED3">
      <w:pPr>
        <w:pStyle w:val="Heading1"/>
        <w:rPr>
          <w:rtl/>
        </w:rPr>
      </w:pPr>
      <w:r w:rsidRPr="002C2ED3">
        <w:rPr>
          <w:rFonts w:hint="cs"/>
          <w:rtl/>
        </w:rPr>
        <w:t>א. פתח דבר</w:t>
      </w:r>
    </w:p>
    <w:p w:rsidR="00A62C61" w:rsidRPr="00283BA0" w:rsidRDefault="00A62C61" w:rsidP="00A62C61">
      <w:pPr>
        <w:pStyle w:val="BodyText"/>
        <w:numPr>
          <w:ilvl w:val="0"/>
          <w:numId w:val="2"/>
        </w:numPr>
      </w:pPr>
      <w:r>
        <w:rPr>
          <w:rFonts w:hint="cs"/>
          <w:rtl/>
        </w:rPr>
        <w:t>עניינה של החלטה זו הוא בהטלת עיצום כספי בהתאם לסמכות הממונה על הגבלים עסקיים (להלן: "</w:t>
      </w:r>
      <w:r>
        <w:rPr>
          <w:rFonts w:hint="cs"/>
          <w:b/>
          <w:bCs/>
          <w:rtl/>
        </w:rPr>
        <w:t>הממונה</w:t>
      </w:r>
      <w:r>
        <w:rPr>
          <w:rFonts w:hint="cs"/>
          <w:rtl/>
        </w:rPr>
        <w:t xml:space="preserve">") לפי </w:t>
      </w:r>
      <w:r w:rsidRPr="00283BA0">
        <w:rPr>
          <w:rFonts w:hint="cs"/>
          <w:rtl/>
        </w:rPr>
        <w:t>סעיף 27(ב) לחוק קידום התחרות ב</w:t>
      </w:r>
      <w:r w:rsidRPr="00283BA0">
        <w:rPr>
          <w:rtl/>
        </w:rPr>
        <w:t>ענף המזון, תשע"ד-2014 ("</w:t>
      </w:r>
      <w:r w:rsidRPr="00283BA0">
        <w:rPr>
          <w:rFonts w:hint="eastAsia"/>
          <w:b/>
          <w:bCs/>
          <w:rtl/>
        </w:rPr>
        <w:t>חוק</w:t>
      </w:r>
      <w:r w:rsidRPr="00283BA0">
        <w:rPr>
          <w:b/>
          <w:bCs/>
          <w:rtl/>
        </w:rPr>
        <w:t xml:space="preserve"> </w:t>
      </w:r>
      <w:r w:rsidRPr="00283BA0">
        <w:rPr>
          <w:rFonts w:hint="eastAsia"/>
          <w:b/>
          <w:bCs/>
          <w:rtl/>
        </w:rPr>
        <w:t>המזון</w:t>
      </w:r>
      <w:r w:rsidRPr="00283BA0">
        <w:rPr>
          <w:rtl/>
        </w:rPr>
        <w:t>") ובהתאם לסעי</w:t>
      </w:r>
      <w:r w:rsidRPr="00283BA0">
        <w:rPr>
          <w:rFonts w:hint="eastAsia"/>
          <w:rtl/>
        </w:rPr>
        <w:t>פים</w:t>
      </w:r>
      <w:r w:rsidRPr="00283BA0">
        <w:rPr>
          <w:rtl/>
        </w:rPr>
        <w:t xml:space="preserve"> 50</w:t>
      </w:r>
      <w:r w:rsidRPr="00283BA0">
        <w:rPr>
          <w:rFonts w:hint="eastAsia"/>
          <w:rtl/>
        </w:rPr>
        <w:t>ה</w:t>
      </w:r>
      <w:r w:rsidRPr="00283BA0">
        <w:rPr>
          <w:rtl/>
        </w:rPr>
        <w:t>-50טז ל</w:t>
      </w:r>
      <w:r w:rsidRPr="00283BA0">
        <w:rPr>
          <w:rFonts w:hint="eastAsia"/>
          <w:rtl/>
        </w:rPr>
        <w:t>חוק</w:t>
      </w:r>
      <w:r w:rsidRPr="00283BA0">
        <w:rPr>
          <w:rtl/>
        </w:rPr>
        <w:t xml:space="preserve"> </w:t>
      </w:r>
      <w:r w:rsidRPr="00283BA0">
        <w:rPr>
          <w:rFonts w:hint="eastAsia"/>
          <w:rtl/>
        </w:rPr>
        <w:t>ההגבלים</w:t>
      </w:r>
      <w:r w:rsidRPr="00283BA0">
        <w:rPr>
          <w:rtl/>
        </w:rPr>
        <w:t xml:space="preserve"> </w:t>
      </w:r>
      <w:r w:rsidRPr="00283BA0">
        <w:rPr>
          <w:rFonts w:hint="eastAsia"/>
          <w:rtl/>
        </w:rPr>
        <w:t>העסקיים</w:t>
      </w:r>
      <w:r w:rsidRPr="00283BA0">
        <w:rPr>
          <w:rtl/>
        </w:rPr>
        <w:t xml:space="preserve">, </w:t>
      </w:r>
      <w:r w:rsidRPr="00283BA0">
        <w:rPr>
          <w:rFonts w:hint="eastAsia"/>
          <w:rtl/>
        </w:rPr>
        <w:t>התשמ</w:t>
      </w:r>
      <w:r w:rsidRPr="00283BA0">
        <w:rPr>
          <w:rtl/>
        </w:rPr>
        <w:t>"ח-19</w:t>
      </w:r>
      <w:r w:rsidRPr="00283BA0">
        <w:rPr>
          <w:rFonts w:hint="cs"/>
          <w:rtl/>
        </w:rPr>
        <w:t>8</w:t>
      </w:r>
      <w:r w:rsidRPr="00283BA0">
        <w:rPr>
          <w:rtl/>
        </w:rPr>
        <w:t>8 (להלן: "</w:t>
      </w:r>
      <w:r w:rsidRPr="00283BA0">
        <w:rPr>
          <w:rFonts w:hint="eastAsia"/>
          <w:b/>
          <w:bCs/>
          <w:rtl/>
        </w:rPr>
        <w:t>חוק</w:t>
      </w:r>
      <w:r w:rsidRPr="00283BA0">
        <w:rPr>
          <w:b/>
          <w:bCs/>
          <w:rtl/>
        </w:rPr>
        <w:t xml:space="preserve"> </w:t>
      </w:r>
      <w:r w:rsidRPr="00283BA0">
        <w:rPr>
          <w:rFonts w:hint="eastAsia"/>
          <w:b/>
          <w:bCs/>
          <w:rtl/>
        </w:rPr>
        <w:t>ההגבלים</w:t>
      </w:r>
      <w:r w:rsidRPr="00283BA0">
        <w:rPr>
          <w:b/>
          <w:bCs/>
          <w:rtl/>
        </w:rPr>
        <w:t xml:space="preserve"> </w:t>
      </w:r>
      <w:r w:rsidRPr="00283BA0">
        <w:rPr>
          <w:rFonts w:hint="eastAsia"/>
          <w:b/>
          <w:bCs/>
          <w:rtl/>
        </w:rPr>
        <w:t>העסקיים</w:t>
      </w:r>
      <w:r w:rsidRPr="00283BA0">
        <w:rPr>
          <w:rtl/>
        </w:rPr>
        <w:t>") ע</w:t>
      </w:r>
      <w:r w:rsidRPr="00283BA0">
        <w:rPr>
          <w:rFonts w:hint="eastAsia"/>
          <w:rtl/>
        </w:rPr>
        <w:t>ל</w:t>
      </w:r>
      <w:r w:rsidRPr="00283BA0">
        <w:rPr>
          <w:rtl/>
        </w:rPr>
        <w:t xml:space="preserve"> </w:t>
      </w:r>
      <w:r>
        <w:rPr>
          <w:rFonts w:hint="cs"/>
          <w:rtl/>
        </w:rPr>
        <w:t>קשת טעמים</w:t>
      </w:r>
      <w:r w:rsidRPr="00283BA0">
        <w:rPr>
          <w:rtl/>
        </w:rPr>
        <w:t xml:space="preserve"> בע"מ (להלן: "</w:t>
      </w:r>
      <w:r w:rsidRPr="00283BA0">
        <w:rPr>
          <w:rFonts w:asciiTheme="majorBidi" w:hAnsiTheme="majorBidi" w:hint="eastAsia"/>
          <w:b/>
          <w:bCs/>
          <w:rtl/>
        </w:rPr>
        <w:t>החברה</w:t>
      </w:r>
      <w:r w:rsidRPr="00283BA0">
        <w:rPr>
          <w:rFonts w:asciiTheme="minorHAnsi" w:hAnsiTheme="minorHAnsi"/>
          <w:rtl/>
        </w:rPr>
        <w:t>"</w:t>
      </w:r>
      <w:r>
        <w:rPr>
          <w:rFonts w:asciiTheme="minorHAnsi" w:hAnsiTheme="minorHAnsi" w:hint="cs"/>
          <w:rtl/>
        </w:rPr>
        <w:t>)</w:t>
      </w:r>
      <w:r w:rsidRPr="00283BA0">
        <w:rPr>
          <w:rFonts w:asciiTheme="minorHAnsi" w:hAnsiTheme="minorHAnsi" w:hint="cs"/>
          <w:rtl/>
        </w:rPr>
        <w:t>.</w:t>
      </w:r>
      <w:r w:rsidRPr="00283BA0">
        <w:rPr>
          <w:rtl/>
        </w:rPr>
        <w:t xml:space="preserve"> </w:t>
      </w:r>
      <w:r w:rsidRPr="00283BA0">
        <w:rPr>
          <w:rFonts w:hint="cs"/>
          <w:rtl/>
        </w:rPr>
        <w:t>ה</w:t>
      </w:r>
      <w:r w:rsidRPr="00283BA0">
        <w:rPr>
          <w:rtl/>
        </w:rPr>
        <w:t xml:space="preserve">עיצום </w:t>
      </w:r>
      <w:r w:rsidRPr="00283BA0">
        <w:rPr>
          <w:rFonts w:hint="cs"/>
          <w:rtl/>
        </w:rPr>
        <w:t>ה</w:t>
      </w:r>
      <w:r w:rsidRPr="00283BA0">
        <w:rPr>
          <w:rtl/>
        </w:rPr>
        <w:t>כספי</w:t>
      </w:r>
      <w:r w:rsidRPr="00283BA0">
        <w:rPr>
          <w:rFonts w:hint="cs"/>
          <w:rtl/>
        </w:rPr>
        <w:t xml:space="preserve"> שמוטל על החברה, בהסכמה,</w:t>
      </w:r>
      <w:r w:rsidRPr="00283BA0">
        <w:rPr>
          <w:rtl/>
        </w:rPr>
        <w:t xml:space="preserve"> </w:t>
      </w:r>
      <w:r w:rsidRPr="00283BA0">
        <w:rPr>
          <w:rFonts w:hint="cs"/>
          <w:rtl/>
        </w:rPr>
        <w:t xml:space="preserve">עומד על </w:t>
      </w:r>
      <w:r w:rsidRPr="00283BA0">
        <w:rPr>
          <w:rtl/>
        </w:rPr>
        <w:t xml:space="preserve">סך </w:t>
      </w:r>
      <w:r w:rsidRPr="00283BA0">
        <w:rPr>
          <w:rFonts w:hint="cs"/>
          <w:rtl/>
        </w:rPr>
        <w:t>60,000</w:t>
      </w:r>
      <w:r w:rsidRPr="00283BA0">
        <w:rPr>
          <w:rtl/>
        </w:rPr>
        <w:t xml:space="preserve"> </w:t>
      </w:r>
      <w:r w:rsidR="0029579D">
        <w:rPr>
          <w:rFonts w:hint="cs"/>
          <w:rtl/>
        </w:rPr>
        <w:t>ש"ח</w:t>
      </w:r>
      <w:r w:rsidRPr="00283BA0">
        <w:rPr>
          <w:rFonts w:hint="cs"/>
          <w:rtl/>
        </w:rPr>
        <w:t>,</w:t>
      </w:r>
      <w:r w:rsidRPr="00283BA0">
        <w:rPr>
          <w:rtl/>
        </w:rPr>
        <w:t xml:space="preserve"> </w:t>
      </w:r>
      <w:r w:rsidRPr="00283BA0">
        <w:rPr>
          <w:rFonts w:hint="cs"/>
          <w:rtl/>
        </w:rPr>
        <w:t>ו</w:t>
      </w:r>
      <w:r w:rsidRPr="00283BA0">
        <w:rPr>
          <w:rtl/>
        </w:rPr>
        <w:t>זאת, בשל הפר</w:t>
      </w:r>
      <w:r w:rsidRPr="00283BA0">
        <w:rPr>
          <w:rFonts w:hint="eastAsia"/>
          <w:rtl/>
        </w:rPr>
        <w:t>ת</w:t>
      </w:r>
      <w:r w:rsidRPr="00283BA0">
        <w:rPr>
          <w:rtl/>
        </w:rPr>
        <w:t xml:space="preserve"> </w:t>
      </w:r>
      <w:r w:rsidRPr="00283BA0">
        <w:rPr>
          <w:rFonts w:hint="eastAsia"/>
          <w:rtl/>
        </w:rPr>
        <w:t>חובת</w:t>
      </w:r>
      <w:r w:rsidRPr="00283BA0">
        <w:rPr>
          <w:rtl/>
        </w:rPr>
        <w:t xml:space="preserve"> הדיווח החלה על </w:t>
      </w:r>
      <w:r w:rsidRPr="00283BA0">
        <w:rPr>
          <w:rFonts w:hint="eastAsia"/>
          <w:rtl/>
        </w:rPr>
        <w:t>החברה</w:t>
      </w:r>
      <w:r w:rsidRPr="00283BA0">
        <w:rPr>
          <w:rtl/>
        </w:rPr>
        <w:t xml:space="preserve"> </w:t>
      </w:r>
      <w:r w:rsidRPr="00283BA0">
        <w:rPr>
          <w:rFonts w:hint="eastAsia"/>
          <w:rtl/>
        </w:rPr>
        <w:t>בהתאם</w:t>
      </w:r>
      <w:r w:rsidRPr="00283BA0">
        <w:rPr>
          <w:rtl/>
        </w:rPr>
        <w:t xml:space="preserve"> </w:t>
      </w:r>
      <w:r w:rsidRPr="00283BA0">
        <w:rPr>
          <w:rFonts w:hint="eastAsia"/>
          <w:rtl/>
        </w:rPr>
        <w:t>להוראות</w:t>
      </w:r>
      <w:r w:rsidRPr="00283BA0">
        <w:rPr>
          <w:rtl/>
        </w:rPr>
        <w:t xml:space="preserve"> </w:t>
      </w:r>
      <w:r w:rsidRPr="00283BA0">
        <w:rPr>
          <w:rFonts w:hint="eastAsia"/>
          <w:rtl/>
        </w:rPr>
        <w:t>חוק</w:t>
      </w:r>
      <w:r w:rsidRPr="00283BA0">
        <w:rPr>
          <w:rtl/>
        </w:rPr>
        <w:t xml:space="preserve"> </w:t>
      </w:r>
      <w:r w:rsidRPr="00283BA0">
        <w:rPr>
          <w:rFonts w:hint="eastAsia"/>
          <w:rtl/>
        </w:rPr>
        <w:t>המזון</w:t>
      </w:r>
      <w:r w:rsidRPr="00283BA0">
        <w:rPr>
          <w:rtl/>
        </w:rPr>
        <w:t xml:space="preserve"> </w:t>
      </w:r>
      <w:r w:rsidRPr="00283BA0">
        <w:rPr>
          <w:rFonts w:hint="eastAsia"/>
          <w:rtl/>
        </w:rPr>
        <w:t>ו</w:t>
      </w:r>
      <w:r w:rsidRPr="00283BA0">
        <w:rPr>
          <w:rtl/>
        </w:rPr>
        <w:t>תקנות קידום התחרות בענף המזון (דיווח של ספקים גדולים ושל קמעונאים גדולים), תשע"ד-2014 ("</w:t>
      </w:r>
      <w:r w:rsidRPr="00283BA0">
        <w:rPr>
          <w:rFonts w:hint="cs"/>
          <w:b/>
          <w:bCs/>
          <w:rtl/>
        </w:rPr>
        <w:t>תקנות הדיווח</w:t>
      </w:r>
      <w:r w:rsidRPr="00283BA0">
        <w:rPr>
          <w:rtl/>
        </w:rPr>
        <w:t xml:space="preserve">") </w:t>
      </w:r>
      <w:r w:rsidRPr="00283BA0">
        <w:rPr>
          <w:rFonts w:hint="eastAsia"/>
          <w:rtl/>
        </w:rPr>
        <w:t>והכל</w:t>
      </w:r>
      <w:r w:rsidRPr="00283BA0">
        <w:rPr>
          <w:rtl/>
        </w:rPr>
        <w:t xml:space="preserve"> </w:t>
      </w:r>
      <w:r w:rsidRPr="00283BA0">
        <w:rPr>
          <w:rFonts w:hint="eastAsia"/>
          <w:rtl/>
        </w:rPr>
        <w:t>כפי</w:t>
      </w:r>
      <w:r w:rsidRPr="00283BA0">
        <w:rPr>
          <w:rtl/>
        </w:rPr>
        <w:t xml:space="preserve"> </w:t>
      </w:r>
      <w:r w:rsidRPr="00283BA0">
        <w:rPr>
          <w:rFonts w:hint="eastAsia"/>
          <w:rtl/>
        </w:rPr>
        <w:t>שיפורט</w:t>
      </w:r>
      <w:r w:rsidRPr="00283BA0">
        <w:rPr>
          <w:rtl/>
        </w:rPr>
        <w:t xml:space="preserve"> </w:t>
      </w:r>
      <w:r w:rsidRPr="00283BA0">
        <w:rPr>
          <w:rFonts w:hint="eastAsia"/>
          <w:rtl/>
        </w:rPr>
        <w:t>להלן</w:t>
      </w:r>
      <w:r w:rsidRPr="00283BA0">
        <w:rPr>
          <w:rtl/>
        </w:rPr>
        <w:t>.</w:t>
      </w:r>
    </w:p>
    <w:p w:rsidR="00A62C61" w:rsidRPr="00283BA0" w:rsidRDefault="00A62C61" w:rsidP="002C2ED3">
      <w:pPr>
        <w:pStyle w:val="Heading1"/>
      </w:pPr>
      <w:r w:rsidRPr="00283BA0">
        <w:rPr>
          <w:rFonts w:hint="cs"/>
          <w:rtl/>
        </w:rPr>
        <w:t>ב. מעשה ההפרה</w:t>
      </w:r>
    </w:p>
    <w:p w:rsidR="00A62C61" w:rsidRPr="00283BA0" w:rsidRDefault="00A62C61" w:rsidP="00A62C61">
      <w:pPr>
        <w:pStyle w:val="ListParagraph"/>
        <w:numPr>
          <w:ilvl w:val="0"/>
          <w:numId w:val="2"/>
        </w:numPr>
        <w:spacing w:before="120"/>
      </w:pPr>
      <w:r w:rsidRPr="00283BA0">
        <w:rPr>
          <w:rFonts w:hint="cs"/>
          <w:rtl/>
        </w:rPr>
        <w:t>החברה</w:t>
      </w:r>
      <w:r w:rsidRPr="00283BA0">
        <w:rPr>
          <w:rtl/>
        </w:rPr>
        <w:t xml:space="preserve"> </w:t>
      </w:r>
      <w:r w:rsidRPr="00283BA0">
        <w:rPr>
          <w:rFonts w:hint="cs"/>
          <w:rtl/>
        </w:rPr>
        <w:t>היא</w:t>
      </w:r>
      <w:r w:rsidRPr="00283BA0">
        <w:rPr>
          <w:rtl/>
        </w:rPr>
        <w:t xml:space="preserve"> </w:t>
      </w:r>
      <w:r w:rsidRPr="00283BA0">
        <w:rPr>
          <w:rFonts w:hint="eastAsia"/>
          <w:rtl/>
        </w:rPr>
        <w:t>קמעונאי</w:t>
      </w:r>
      <w:r w:rsidRPr="00283BA0">
        <w:rPr>
          <w:rtl/>
        </w:rPr>
        <w:t xml:space="preserve"> גדול, כמשמעו של מונח זה בחוק המזון</w:t>
      </w:r>
      <w:r w:rsidRPr="00283BA0">
        <w:rPr>
          <w:rStyle w:val="CommentReference"/>
          <w:rFonts w:hint="cs"/>
          <w:rtl/>
        </w:rPr>
        <w:t>.</w:t>
      </w:r>
      <w:r w:rsidRPr="00283BA0">
        <w:rPr>
          <w:rtl/>
        </w:rPr>
        <w:t xml:space="preserve"> </w:t>
      </w:r>
    </w:p>
    <w:p w:rsidR="00A62C61" w:rsidRPr="00283BA0" w:rsidRDefault="00A62C61" w:rsidP="00A62C61">
      <w:pPr>
        <w:pStyle w:val="ListParagraph"/>
        <w:numPr>
          <w:ilvl w:val="0"/>
          <w:numId w:val="2"/>
        </w:numPr>
        <w:spacing w:before="120"/>
      </w:pPr>
      <w:r w:rsidRPr="00283BA0">
        <w:rPr>
          <w:rFonts w:hint="eastAsia"/>
          <w:rtl/>
        </w:rPr>
        <w:t>בהתאם</w:t>
      </w:r>
      <w:r w:rsidRPr="00283BA0">
        <w:rPr>
          <w:rtl/>
        </w:rPr>
        <w:t xml:space="preserve"> </w:t>
      </w:r>
      <w:r w:rsidRPr="00283BA0">
        <w:rPr>
          <w:rFonts w:hint="cs"/>
          <w:rtl/>
        </w:rPr>
        <w:t>לסעיף</w:t>
      </w:r>
      <w:r w:rsidRPr="00283BA0">
        <w:rPr>
          <w:rtl/>
        </w:rPr>
        <w:t xml:space="preserve"> 12</w:t>
      </w:r>
      <w:r w:rsidRPr="00283BA0">
        <w:rPr>
          <w:rFonts w:hint="cs"/>
          <w:rtl/>
        </w:rPr>
        <w:t xml:space="preserve"> </w:t>
      </w:r>
      <w:r w:rsidRPr="00283BA0">
        <w:rPr>
          <w:rtl/>
        </w:rPr>
        <w:t xml:space="preserve">לחוק המזון </w:t>
      </w:r>
      <w:r w:rsidRPr="00283BA0">
        <w:rPr>
          <w:rFonts w:hint="cs"/>
          <w:rtl/>
        </w:rPr>
        <w:t xml:space="preserve">ולתקנות הדיווח, </w:t>
      </w:r>
      <w:r w:rsidRPr="00283BA0">
        <w:rPr>
          <w:rFonts w:hint="eastAsia"/>
          <w:rtl/>
        </w:rPr>
        <w:t>על</w:t>
      </w:r>
      <w:r w:rsidRPr="00283BA0">
        <w:rPr>
          <w:rtl/>
        </w:rPr>
        <w:t xml:space="preserve"> </w:t>
      </w:r>
      <w:r w:rsidRPr="00283BA0">
        <w:rPr>
          <w:rFonts w:hint="eastAsia"/>
          <w:rtl/>
        </w:rPr>
        <w:t>קמעונאי</w:t>
      </w:r>
      <w:r w:rsidRPr="00283BA0">
        <w:rPr>
          <w:rtl/>
        </w:rPr>
        <w:t xml:space="preserve"> גדול לדווח לממונה</w:t>
      </w:r>
      <w:r w:rsidRPr="00283BA0">
        <w:rPr>
          <w:rFonts w:hint="cs"/>
          <w:rtl/>
        </w:rPr>
        <w:t>, אחת לשנה</w:t>
      </w:r>
      <w:r w:rsidRPr="00283BA0">
        <w:rPr>
          <w:rtl/>
        </w:rPr>
        <w:t xml:space="preserve">, על </w:t>
      </w:r>
      <w:r w:rsidRPr="00283BA0">
        <w:rPr>
          <w:rFonts w:hint="eastAsia"/>
          <w:rtl/>
        </w:rPr>
        <w:t>החנויות</w:t>
      </w:r>
      <w:r w:rsidRPr="00283BA0">
        <w:rPr>
          <w:rtl/>
        </w:rPr>
        <w:t xml:space="preserve"> </w:t>
      </w:r>
      <w:r w:rsidRPr="00283BA0">
        <w:rPr>
          <w:rFonts w:hint="eastAsia"/>
          <w:rtl/>
        </w:rPr>
        <w:t>בהן</w:t>
      </w:r>
      <w:r w:rsidRPr="00283BA0">
        <w:rPr>
          <w:rtl/>
        </w:rPr>
        <w:t xml:space="preserve"> </w:t>
      </w:r>
      <w:r w:rsidRPr="00283BA0">
        <w:rPr>
          <w:rFonts w:hint="eastAsia"/>
          <w:rtl/>
        </w:rPr>
        <w:t>הוא</w:t>
      </w:r>
      <w:r w:rsidRPr="00283BA0">
        <w:rPr>
          <w:rtl/>
        </w:rPr>
        <w:t xml:space="preserve"> </w:t>
      </w:r>
      <w:r w:rsidRPr="00283BA0">
        <w:rPr>
          <w:rFonts w:hint="eastAsia"/>
          <w:rtl/>
        </w:rPr>
        <w:t>מחזיק</w:t>
      </w:r>
      <w:r w:rsidRPr="00283BA0">
        <w:rPr>
          <w:rtl/>
        </w:rPr>
        <w:t xml:space="preserve"> </w:t>
      </w:r>
      <w:r w:rsidRPr="00283BA0">
        <w:rPr>
          <w:rFonts w:hint="eastAsia"/>
          <w:rtl/>
        </w:rPr>
        <w:t>ו</w:t>
      </w:r>
      <w:r w:rsidRPr="00283BA0">
        <w:rPr>
          <w:rFonts w:hint="cs"/>
          <w:rtl/>
        </w:rPr>
        <w:t xml:space="preserve">כן מהו </w:t>
      </w:r>
      <w:r w:rsidRPr="00283BA0">
        <w:rPr>
          <w:rFonts w:hint="eastAsia"/>
          <w:rtl/>
        </w:rPr>
        <w:t>מחזור</w:t>
      </w:r>
      <w:r w:rsidRPr="00283BA0">
        <w:rPr>
          <w:rtl/>
        </w:rPr>
        <w:t xml:space="preserve"> המכירות </w:t>
      </w:r>
      <w:r w:rsidRPr="00283BA0">
        <w:rPr>
          <w:rFonts w:hint="eastAsia"/>
          <w:rtl/>
        </w:rPr>
        <w:t>השנתי</w:t>
      </w:r>
      <w:r w:rsidRPr="00283BA0">
        <w:rPr>
          <w:rtl/>
        </w:rPr>
        <w:t xml:space="preserve"> </w:t>
      </w:r>
      <w:r w:rsidRPr="00283BA0">
        <w:rPr>
          <w:rFonts w:hint="eastAsia"/>
          <w:rtl/>
        </w:rPr>
        <w:t>של</w:t>
      </w:r>
      <w:r w:rsidRPr="00283BA0">
        <w:rPr>
          <w:rtl/>
        </w:rPr>
        <w:t xml:space="preserve"> </w:t>
      </w:r>
      <w:r w:rsidRPr="00283BA0">
        <w:rPr>
          <w:rFonts w:hint="eastAsia"/>
          <w:rtl/>
        </w:rPr>
        <w:t>כל</w:t>
      </w:r>
      <w:r w:rsidRPr="00283BA0">
        <w:rPr>
          <w:rtl/>
        </w:rPr>
        <w:t xml:space="preserve"> </w:t>
      </w:r>
      <w:r w:rsidRPr="00283BA0">
        <w:rPr>
          <w:rFonts w:hint="eastAsia"/>
          <w:rtl/>
        </w:rPr>
        <w:t>חנות</w:t>
      </w:r>
      <w:r w:rsidRPr="00283BA0">
        <w:rPr>
          <w:rtl/>
        </w:rPr>
        <w:t xml:space="preserve">. </w:t>
      </w:r>
      <w:r w:rsidRPr="00283BA0">
        <w:rPr>
          <w:rFonts w:hint="cs"/>
          <w:rtl/>
        </w:rPr>
        <w:t>בהתאם לסעיף 21 לחוק המזון, על קמעונאי גדול לדווח לממונה, אחת לשנה, על החנויות הגדולות שהוא מחזיק בהן, מיקומן, שטח המכירה בכל אחת מהן, המועד שבו החלה כל חנות לפעול, וכן מהו מחזור המכירות השנתי של כל חנות.</w:t>
      </w:r>
    </w:p>
    <w:p w:rsidR="00A62C61" w:rsidRPr="00283BA0" w:rsidRDefault="00A62C61" w:rsidP="00A62C61">
      <w:pPr>
        <w:pStyle w:val="ListParagraph"/>
        <w:numPr>
          <w:ilvl w:val="0"/>
          <w:numId w:val="2"/>
        </w:numPr>
        <w:spacing w:before="120"/>
      </w:pPr>
      <w:r w:rsidRPr="00283BA0">
        <w:rPr>
          <w:rtl/>
        </w:rPr>
        <w:t xml:space="preserve">בהתאם לתקנות </w:t>
      </w:r>
      <w:r w:rsidRPr="00283BA0">
        <w:rPr>
          <w:rFonts w:hint="cs"/>
          <w:rtl/>
        </w:rPr>
        <w:t xml:space="preserve">הדיווח </w:t>
      </w:r>
      <w:r w:rsidRPr="00283BA0">
        <w:rPr>
          <w:rtl/>
        </w:rPr>
        <w:t xml:space="preserve">על </w:t>
      </w:r>
      <w:r w:rsidRPr="00283BA0">
        <w:rPr>
          <w:rFonts w:hint="eastAsia"/>
          <w:rtl/>
        </w:rPr>
        <w:t>קמעונאי</w:t>
      </w:r>
      <w:r w:rsidRPr="00283BA0">
        <w:rPr>
          <w:rtl/>
        </w:rPr>
        <w:t xml:space="preserve"> גדול להעביר </w:t>
      </w:r>
      <w:r w:rsidRPr="00283BA0">
        <w:rPr>
          <w:rFonts w:hint="eastAsia"/>
          <w:rtl/>
        </w:rPr>
        <w:t>את</w:t>
      </w:r>
      <w:r w:rsidRPr="00283BA0">
        <w:rPr>
          <w:rtl/>
        </w:rPr>
        <w:t xml:space="preserve"> </w:t>
      </w:r>
      <w:r w:rsidRPr="00283BA0">
        <w:rPr>
          <w:rFonts w:hint="eastAsia"/>
          <w:rtl/>
        </w:rPr>
        <w:t>הדיווח</w:t>
      </w:r>
      <w:r w:rsidRPr="00283BA0">
        <w:rPr>
          <w:rtl/>
        </w:rPr>
        <w:t xml:space="preserve"> </w:t>
      </w:r>
      <w:r w:rsidRPr="00283BA0">
        <w:rPr>
          <w:rFonts w:hint="eastAsia"/>
          <w:rtl/>
        </w:rPr>
        <w:t>כאמור</w:t>
      </w:r>
      <w:r w:rsidRPr="00283BA0">
        <w:rPr>
          <w:rtl/>
        </w:rPr>
        <w:t xml:space="preserve"> </w:t>
      </w:r>
      <w:r w:rsidRPr="00283BA0">
        <w:rPr>
          <w:rFonts w:hint="eastAsia"/>
          <w:rtl/>
        </w:rPr>
        <w:t>עד</w:t>
      </w:r>
      <w:r w:rsidRPr="00283BA0">
        <w:rPr>
          <w:rFonts w:hint="cs"/>
          <w:rtl/>
        </w:rPr>
        <w:t xml:space="preserve"> ליום</w:t>
      </w:r>
      <w:r w:rsidRPr="00283BA0">
        <w:rPr>
          <w:rtl/>
        </w:rPr>
        <w:t xml:space="preserve"> 31 </w:t>
      </w:r>
      <w:r w:rsidRPr="00283BA0">
        <w:rPr>
          <w:rFonts w:hint="eastAsia"/>
          <w:rtl/>
        </w:rPr>
        <w:t>במרס</w:t>
      </w:r>
      <w:r w:rsidRPr="00283BA0">
        <w:rPr>
          <w:rFonts w:hint="cs"/>
          <w:rtl/>
        </w:rPr>
        <w:t>,</w:t>
      </w:r>
      <w:r w:rsidRPr="00283BA0">
        <w:rPr>
          <w:rtl/>
        </w:rPr>
        <w:t xml:space="preserve"> </w:t>
      </w:r>
      <w:r w:rsidRPr="00283BA0">
        <w:rPr>
          <w:rFonts w:hint="eastAsia"/>
          <w:rtl/>
        </w:rPr>
        <w:t>כל</w:t>
      </w:r>
      <w:r w:rsidRPr="00283BA0">
        <w:rPr>
          <w:rtl/>
        </w:rPr>
        <w:t xml:space="preserve"> </w:t>
      </w:r>
      <w:r w:rsidRPr="00283BA0">
        <w:rPr>
          <w:rFonts w:hint="eastAsia"/>
          <w:rtl/>
        </w:rPr>
        <w:t>שנה</w:t>
      </w:r>
      <w:r w:rsidRPr="00283BA0">
        <w:rPr>
          <w:rtl/>
        </w:rPr>
        <w:t>.</w:t>
      </w:r>
    </w:p>
    <w:p w:rsidR="00A62C61" w:rsidRPr="00283BA0" w:rsidRDefault="00A62C61" w:rsidP="00CA74A0">
      <w:pPr>
        <w:pStyle w:val="ListParagraph"/>
        <w:numPr>
          <w:ilvl w:val="0"/>
          <w:numId w:val="2"/>
        </w:numPr>
        <w:spacing w:before="120"/>
      </w:pPr>
      <w:r w:rsidRPr="00283BA0">
        <w:rPr>
          <w:rFonts w:hint="cs"/>
          <w:rtl/>
        </w:rPr>
        <w:t xml:space="preserve">החברה </w:t>
      </w:r>
      <w:r w:rsidRPr="00283BA0">
        <w:rPr>
          <w:rtl/>
        </w:rPr>
        <w:t xml:space="preserve">לא העבירה לידי הממונה </w:t>
      </w:r>
      <w:r w:rsidRPr="00283BA0">
        <w:rPr>
          <w:rFonts w:hint="cs"/>
          <w:rtl/>
        </w:rPr>
        <w:t>את ה</w:t>
      </w:r>
      <w:r w:rsidRPr="00283BA0">
        <w:rPr>
          <w:rFonts w:hint="eastAsia"/>
          <w:rtl/>
        </w:rPr>
        <w:t>דיווח</w:t>
      </w:r>
      <w:r w:rsidRPr="00283BA0">
        <w:rPr>
          <w:rtl/>
        </w:rPr>
        <w:t xml:space="preserve"> </w:t>
      </w:r>
      <w:r w:rsidRPr="00283BA0">
        <w:rPr>
          <w:rFonts w:hint="eastAsia"/>
          <w:rtl/>
        </w:rPr>
        <w:t>ביחס</w:t>
      </w:r>
      <w:r w:rsidRPr="00283BA0">
        <w:rPr>
          <w:rtl/>
        </w:rPr>
        <w:t xml:space="preserve"> </w:t>
      </w:r>
      <w:r w:rsidRPr="00283BA0">
        <w:rPr>
          <w:rFonts w:hint="eastAsia"/>
          <w:rtl/>
        </w:rPr>
        <w:t>לשנת</w:t>
      </w:r>
      <w:r w:rsidRPr="00283BA0">
        <w:rPr>
          <w:rtl/>
        </w:rPr>
        <w:t xml:space="preserve"> הכספיים 2017</w:t>
      </w:r>
      <w:r w:rsidRPr="00283BA0">
        <w:rPr>
          <w:rFonts w:hint="cs"/>
          <w:rtl/>
        </w:rPr>
        <w:t xml:space="preserve"> במועד הקבוע בתקנות הדיווח. </w:t>
      </w:r>
      <w:r w:rsidR="00CA74A0" w:rsidRPr="00283BA0">
        <w:rPr>
          <w:rFonts w:hint="eastAsia"/>
          <w:rtl/>
        </w:rPr>
        <w:t>בכך</w:t>
      </w:r>
      <w:r w:rsidR="00CA74A0" w:rsidRPr="00283BA0">
        <w:rPr>
          <w:rFonts w:hint="cs"/>
          <w:rtl/>
        </w:rPr>
        <w:t>,</w:t>
      </w:r>
      <w:r w:rsidR="00CA74A0" w:rsidRPr="00283BA0">
        <w:rPr>
          <w:rtl/>
        </w:rPr>
        <w:t xml:space="preserve"> הפרה </w:t>
      </w:r>
      <w:r w:rsidR="00CA74A0" w:rsidRPr="00283BA0">
        <w:rPr>
          <w:rFonts w:hint="eastAsia"/>
          <w:rtl/>
        </w:rPr>
        <w:t>החברה</w:t>
      </w:r>
      <w:r w:rsidR="00CA74A0" w:rsidRPr="00283BA0">
        <w:rPr>
          <w:rtl/>
        </w:rPr>
        <w:t xml:space="preserve"> את חובת הדיווח הקבוע</w:t>
      </w:r>
      <w:r w:rsidR="00CA74A0" w:rsidRPr="00283BA0">
        <w:rPr>
          <w:rFonts w:hint="cs"/>
          <w:rtl/>
        </w:rPr>
        <w:t>ה</w:t>
      </w:r>
      <w:r w:rsidR="00CA74A0" w:rsidRPr="00283BA0">
        <w:rPr>
          <w:rtl/>
        </w:rPr>
        <w:t xml:space="preserve"> בחוק המזון.</w:t>
      </w:r>
      <w:r w:rsidR="00CA74A0" w:rsidRPr="00283BA0">
        <w:rPr>
          <w:rFonts w:hint="cs"/>
          <w:rtl/>
        </w:rPr>
        <w:t xml:space="preserve"> </w:t>
      </w:r>
      <w:r w:rsidRPr="00283BA0">
        <w:rPr>
          <w:rFonts w:hint="cs"/>
          <w:rtl/>
        </w:rPr>
        <w:t>לפיכך, הודיעה הממונה ביום 16 לאפריל 2018 לחברה, כי בכוונתה להטיל על החברה עיצום כספי בסך 100,000 ש"ח בגין הפרת חובת הדיווח  (להלן: "</w:t>
      </w:r>
      <w:r w:rsidRPr="00283BA0">
        <w:rPr>
          <w:rFonts w:hint="cs"/>
          <w:b/>
          <w:bCs/>
          <w:rtl/>
        </w:rPr>
        <w:t>הודעת הממונה</w:t>
      </w:r>
      <w:r w:rsidRPr="00283BA0">
        <w:rPr>
          <w:rFonts w:hint="cs"/>
          <w:rtl/>
        </w:rPr>
        <w:t>")</w:t>
      </w:r>
      <w:r w:rsidRPr="00283BA0">
        <w:rPr>
          <w:rtl/>
        </w:rPr>
        <w:t xml:space="preserve">. </w:t>
      </w:r>
    </w:p>
    <w:p w:rsidR="00A62C61" w:rsidRPr="00283BA0" w:rsidRDefault="00A62C61" w:rsidP="00A62C61">
      <w:pPr>
        <w:pStyle w:val="ListParagraph"/>
        <w:numPr>
          <w:ilvl w:val="0"/>
          <w:numId w:val="2"/>
        </w:numPr>
        <w:spacing w:before="120"/>
      </w:pPr>
      <w:r w:rsidRPr="00283BA0">
        <w:rPr>
          <w:rFonts w:hint="cs"/>
          <w:rtl/>
        </w:rPr>
        <w:t xml:space="preserve">החברה העבירה את הדיווח ביום 16 באפריל 2018, </w:t>
      </w:r>
      <w:r w:rsidRPr="00283BA0">
        <w:rPr>
          <w:rFonts w:hint="eastAsia"/>
          <w:b/>
          <w:bCs/>
          <w:rtl/>
        </w:rPr>
        <w:t>לאחר</w:t>
      </w:r>
      <w:r w:rsidRPr="00283BA0">
        <w:rPr>
          <w:rFonts w:hint="cs"/>
          <w:rtl/>
        </w:rPr>
        <w:t xml:space="preserve"> קבלת הודעת הממונה.</w:t>
      </w:r>
    </w:p>
    <w:p w:rsidR="00A62C61" w:rsidRPr="00283BA0" w:rsidRDefault="00A62C61" w:rsidP="00A62C61">
      <w:pPr>
        <w:pStyle w:val="ListParagraph"/>
        <w:numPr>
          <w:ilvl w:val="0"/>
          <w:numId w:val="2"/>
        </w:numPr>
        <w:spacing w:before="120"/>
      </w:pPr>
      <w:r w:rsidRPr="00283BA0">
        <w:rPr>
          <w:rFonts w:hint="cs"/>
          <w:rtl/>
        </w:rPr>
        <w:t xml:space="preserve">עוד יצוין, כי גם בשנתיים החולפות לא דיווחה החברה את הפרטים הנדרשים על פי חוק המזון במועד הקבוע בתקנות הדיווח, והיא עשתה כן רק לאחר פניות מצד הרשות. </w:t>
      </w:r>
    </w:p>
    <w:p w:rsidR="00A62C61" w:rsidRPr="00283BA0" w:rsidRDefault="00A62C61" w:rsidP="00A62C61">
      <w:pPr>
        <w:pStyle w:val="ListParagraph"/>
        <w:numPr>
          <w:ilvl w:val="0"/>
          <w:numId w:val="2"/>
        </w:numPr>
        <w:spacing w:before="120"/>
      </w:pPr>
      <w:r w:rsidRPr="00283BA0">
        <w:rPr>
          <w:rFonts w:hint="eastAsia"/>
          <w:rtl/>
        </w:rPr>
        <w:t>פרסום</w:t>
      </w:r>
      <w:r w:rsidRPr="00283BA0">
        <w:rPr>
          <w:rtl/>
        </w:rPr>
        <w:t xml:space="preserve"> </w:t>
      </w:r>
      <w:r w:rsidRPr="00283BA0">
        <w:rPr>
          <w:rFonts w:hint="eastAsia"/>
          <w:rtl/>
        </w:rPr>
        <w:t>רשימה</w:t>
      </w:r>
      <w:r w:rsidRPr="00283BA0">
        <w:rPr>
          <w:rtl/>
        </w:rPr>
        <w:t xml:space="preserve"> </w:t>
      </w:r>
      <w:r w:rsidRPr="00283BA0">
        <w:rPr>
          <w:rFonts w:hint="eastAsia"/>
          <w:rtl/>
        </w:rPr>
        <w:t>של</w:t>
      </w:r>
      <w:r w:rsidRPr="00283BA0">
        <w:rPr>
          <w:rtl/>
        </w:rPr>
        <w:t xml:space="preserve"> </w:t>
      </w:r>
      <w:r w:rsidRPr="00283BA0">
        <w:rPr>
          <w:rFonts w:hint="eastAsia"/>
          <w:rtl/>
        </w:rPr>
        <w:t>קמעונאים</w:t>
      </w:r>
      <w:r w:rsidRPr="00283BA0">
        <w:rPr>
          <w:rtl/>
        </w:rPr>
        <w:t xml:space="preserve"> גדולים </w:t>
      </w:r>
      <w:r w:rsidRPr="00283BA0">
        <w:rPr>
          <w:rFonts w:hint="cs"/>
          <w:rtl/>
        </w:rPr>
        <w:t>מהווה את התשתית</w:t>
      </w:r>
      <w:r w:rsidRPr="00283BA0">
        <w:rPr>
          <w:rtl/>
        </w:rPr>
        <w:t xml:space="preserve"> להחלת </w:t>
      </w:r>
      <w:r w:rsidRPr="00283BA0">
        <w:rPr>
          <w:rFonts w:hint="cs"/>
          <w:rtl/>
        </w:rPr>
        <w:t xml:space="preserve">הוראות חוק המזון ובכלל זאת </w:t>
      </w:r>
      <w:r w:rsidRPr="00283BA0">
        <w:rPr>
          <w:rtl/>
        </w:rPr>
        <w:t>האיסורים הקבועים ב</w:t>
      </w:r>
      <w:r w:rsidRPr="00283BA0">
        <w:rPr>
          <w:rFonts w:hint="cs"/>
          <w:rtl/>
        </w:rPr>
        <w:t>ו</w:t>
      </w:r>
      <w:r w:rsidRPr="00283BA0">
        <w:rPr>
          <w:rtl/>
        </w:rPr>
        <w:t xml:space="preserve"> על </w:t>
      </w:r>
      <w:r w:rsidRPr="00283BA0">
        <w:rPr>
          <w:rFonts w:hint="eastAsia"/>
          <w:rtl/>
        </w:rPr>
        <w:t>קמעונאים</w:t>
      </w:r>
      <w:r w:rsidRPr="00283BA0">
        <w:rPr>
          <w:rtl/>
        </w:rPr>
        <w:t xml:space="preserve"> </w:t>
      </w:r>
      <w:r w:rsidRPr="00283BA0">
        <w:rPr>
          <w:rFonts w:hint="eastAsia"/>
          <w:rtl/>
        </w:rPr>
        <w:t>גדולים</w:t>
      </w:r>
      <w:r w:rsidRPr="00283BA0">
        <w:rPr>
          <w:rtl/>
        </w:rPr>
        <w:t xml:space="preserve"> </w:t>
      </w:r>
      <w:r w:rsidRPr="00283BA0">
        <w:rPr>
          <w:rFonts w:hint="eastAsia"/>
          <w:rtl/>
        </w:rPr>
        <w:t>ביחסיהם</w:t>
      </w:r>
      <w:r w:rsidRPr="00283BA0">
        <w:rPr>
          <w:rtl/>
        </w:rPr>
        <w:t xml:space="preserve"> </w:t>
      </w:r>
      <w:r w:rsidRPr="00283BA0">
        <w:rPr>
          <w:rFonts w:hint="cs"/>
          <w:rtl/>
        </w:rPr>
        <w:t>מול</w:t>
      </w:r>
      <w:r w:rsidRPr="00283BA0">
        <w:rPr>
          <w:rtl/>
        </w:rPr>
        <w:t xml:space="preserve"> </w:t>
      </w:r>
      <w:r w:rsidRPr="00283BA0">
        <w:rPr>
          <w:rFonts w:hint="cs"/>
          <w:rtl/>
        </w:rPr>
        <w:t>ה</w:t>
      </w:r>
      <w:r w:rsidRPr="00283BA0">
        <w:rPr>
          <w:rFonts w:hint="eastAsia"/>
          <w:rtl/>
        </w:rPr>
        <w:t>ספקים</w:t>
      </w:r>
      <w:r w:rsidRPr="00283BA0">
        <w:rPr>
          <w:rtl/>
        </w:rPr>
        <w:t xml:space="preserve">. בהתאם, דיווח מלא על פי המועדים בחוק </w:t>
      </w:r>
      <w:r w:rsidRPr="00283BA0">
        <w:rPr>
          <w:rFonts w:hint="eastAsia"/>
          <w:rtl/>
        </w:rPr>
        <w:t>המזון</w:t>
      </w:r>
      <w:r w:rsidRPr="00283BA0">
        <w:rPr>
          <w:rtl/>
        </w:rPr>
        <w:t xml:space="preserve"> ה</w:t>
      </w:r>
      <w:r w:rsidRPr="00283BA0">
        <w:rPr>
          <w:rFonts w:hint="eastAsia"/>
          <w:rtl/>
        </w:rPr>
        <w:t>ו</w:t>
      </w:r>
      <w:r w:rsidRPr="00283BA0">
        <w:rPr>
          <w:rtl/>
        </w:rPr>
        <w:t>א תנאי הכרחי לקיום הוראות החוק ולקידום תכליותיו.</w:t>
      </w:r>
      <w:r w:rsidRPr="00283BA0">
        <w:rPr>
          <w:rFonts w:hint="cs"/>
          <w:rtl/>
        </w:rPr>
        <w:t xml:space="preserve"> הדיווח בהתאם להוראות חוק המזון ותקנות הדיווח נדרש, בין היתר, כדי לאפשר לממונה לגבש ולפרסם אזורי ביקוש לקמעונאים, ואת רשימות הספקים </w:t>
      </w:r>
      <w:r w:rsidRPr="00283BA0">
        <w:rPr>
          <w:rFonts w:hint="cs"/>
          <w:rtl/>
        </w:rPr>
        <w:lastRenderedPageBreak/>
        <w:t xml:space="preserve">והקמעונאים הגדולים, מהם נגזרים האיסורים והחובות על פי חוק המזון. </w:t>
      </w:r>
      <w:r w:rsidRPr="00283BA0">
        <w:rPr>
          <w:rFonts w:hint="eastAsia"/>
          <w:rtl/>
        </w:rPr>
        <w:t>הפרה</w:t>
      </w:r>
      <w:r w:rsidRPr="00283BA0">
        <w:rPr>
          <w:rtl/>
        </w:rPr>
        <w:t xml:space="preserve"> </w:t>
      </w:r>
      <w:r w:rsidRPr="00283BA0">
        <w:rPr>
          <w:rFonts w:hint="eastAsia"/>
          <w:rtl/>
        </w:rPr>
        <w:t>של</w:t>
      </w:r>
      <w:r w:rsidRPr="00283BA0">
        <w:rPr>
          <w:rtl/>
        </w:rPr>
        <w:t xml:space="preserve"> </w:t>
      </w:r>
      <w:r w:rsidRPr="00283BA0">
        <w:rPr>
          <w:rFonts w:hint="eastAsia"/>
          <w:rtl/>
        </w:rPr>
        <w:t>חובת</w:t>
      </w:r>
      <w:r w:rsidRPr="00283BA0">
        <w:rPr>
          <w:rtl/>
        </w:rPr>
        <w:t xml:space="preserve"> </w:t>
      </w:r>
      <w:r w:rsidRPr="00283BA0">
        <w:rPr>
          <w:rFonts w:hint="eastAsia"/>
          <w:rtl/>
        </w:rPr>
        <w:t>הדיווח</w:t>
      </w:r>
      <w:r w:rsidRPr="00283BA0">
        <w:rPr>
          <w:rtl/>
        </w:rPr>
        <w:t xml:space="preserve"> </w:t>
      </w:r>
      <w:r w:rsidRPr="00283BA0">
        <w:rPr>
          <w:rFonts w:hint="cs"/>
          <w:rtl/>
        </w:rPr>
        <w:t>עשויה</w:t>
      </w:r>
      <w:r w:rsidRPr="00283BA0">
        <w:rPr>
          <w:rtl/>
        </w:rPr>
        <w:t xml:space="preserve">, </w:t>
      </w:r>
      <w:r w:rsidRPr="00283BA0">
        <w:rPr>
          <w:rFonts w:hint="eastAsia"/>
          <w:rtl/>
        </w:rPr>
        <w:t>אפוא</w:t>
      </w:r>
      <w:r w:rsidRPr="00283BA0">
        <w:rPr>
          <w:rtl/>
        </w:rPr>
        <w:t xml:space="preserve">, </w:t>
      </w:r>
      <w:r w:rsidRPr="00283BA0">
        <w:rPr>
          <w:rFonts w:hint="cs"/>
          <w:rtl/>
        </w:rPr>
        <w:t xml:space="preserve">לפגוע </w:t>
      </w:r>
      <w:r w:rsidRPr="00283BA0">
        <w:rPr>
          <w:rFonts w:hint="eastAsia"/>
          <w:rtl/>
        </w:rPr>
        <w:t>פגיעה</w:t>
      </w:r>
      <w:r w:rsidRPr="00283BA0">
        <w:rPr>
          <w:rtl/>
        </w:rPr>
        <w:t xml:space="preserve"> </w:t>
      </w:r>
      <w:r w:rsidRPr="00283BA0">
        <w:rPr>
          <w:rFonts w:hint="eastAsia"/>
          <w:rtl/>
        </w:rPr>
        <w:t>משמעותית</w:t>
      </w:r>
      <w:r w:rsidRPr="00283BA0">
        <w:rPr>
          <w:rtl/>
        </w:rPr>
        <w:t xml:space="preserve"> </w:t>
      </w:r>
      <w:r w:rsidRPr="00283BA0">
        <w:rPr>
          <w:rFonts w:hint="eastAsia"/>
          <w:rtl/>
        </w:rPr>
        <w:t>באפשרות</w:t>
      </w:r>
      <w:r w:rsidRPr="00283BA0">
        <w:rPr>
          <w:rtl/>
        </w:rPr>
        <w:t xml:space="preserve"> </w:t>
      </w:r>
      <w:r w:rsidRPr="00283BA0">
        <w:rPr>
          <w:rFonts w:hint="eastAsia"/>
          <w:rtl/>
        </w:rPr>
        <w:t>לקיים</w:t>
      </w:r>
      <w:r w:rsidRPr="00283BA0">
        <w:rPr>
          <w:rtl/>
        </w:rPr>
        <w:t xml:space="preserve"> </w:t>
      </w:r>
      <w:r w:rsidRPr="00283BA0">
        <w:rPr>
          <w:rFonts w:hint="eastAsia"/>
          <w:rtl/>
        </w:rPr>
        <w:t>את</w:t>
      </w:r>
      <w:r w:rsidRPr="00283BA0">
        <w:rPr>
          <w:rtl/>
        </w:rPr>
        <w:t xml:space="preserve"> </w:t>
      </w:r>
      <w:r w:rsidRPr="00283BA0">
        <w:rPr>
          <w:rFonts w:hint="eastAsia"/>
          <w:rtl/>
        </w:rPr>
        <w:t>הוראות</w:t>
      </w:r>
      <w:r w:rsidRPr="00283BA0">
        <w:rPr>
          <w:rtl/>
        </w:rPr>
        <w:t xml:space="preserve"> </w:t>
      </w:r>
      <w:r w:rsidRPr="00283BA0">
        <w:rPr>
          <w:rFonts w:hint="eastAsia"/>
          <w:rtl/>
        </w:rPr>
        <w:t>החוק</w:t>
      </w:r>
      <w:r w:rsidRPr="00283BA0">
        <w:rPr>
          <w:rtl/>
        </w:rPr>
        <w:t xml:space="preserve"> </w:t>
      </w:r>
      <w:r w:rsidRPr="00283BA0">
        <w:rPr>
          <w:rFonts w:hint="eastAsia"/>
          <w:rtl/>
        </w:rPr>
        <w:t>במלואן</w:t>
      </w:r>
      <w:r w:rsidRPr="00283BA0">
        <w:rPr>
          <w:rtl/>
        </w:rPr>
        <w:t>.</w:t>
      </w:r>
    </w:p>
    <w:p w:rsidR="00A62C61" w:rsidRPr="00283BA0" w:rsidRDefault="00A62C61" w:rsidP="002C2ED3">
      <w:pPr>
        <w:pStyle w:val="Heading1"/>
      </w:pPr>
      <w:r w:rsidRPr="00283BA0">
        <w:rPr>
          <w:rFonts w:hint="cs"/>
          <w:rtl/>
        </w:rPr>
        <w:t>ג. הטלת עיצום כספי</w:t>
      </w:r>
    </w:p>
    <w:p w:rsidR="00A62C61" w:rsidRPr="00283BA0" w:rsidRDefault="00A62C61" w:rsidP="00A62C61">
      <w:pPr>
        <w:pStyle w:val="ListParagraph"/>
        <w:numPr>
          <w:ilvl w:val="0"/>
          <w:numId w:val="2"/>
        </w:numPr>
        <w:spacing w:before="120"/>
      </w:pPr>
      <w:r w:rsidRPr="00283BA0">
        <w:rPr>
          <w:rFonts w:hint="eastAsia"/>
          <w:rtl/>
        </w:rPr>
        <w:t>סעיף</w:t>
      </w:r>
      <w:r w:rsidRPr="00283BA0">
        <w:rPr>
          <w:rtl/>
        </w:rPr>
        <w:t xml:space="preserve"> 27(ב) לחוק המזון קובע</w:t>
      </w:r>
      <w:r w:rsidRPr="00283BA0">
        <w:rPr>
          <w:rFonts w:hint="cs"/>
          <w:rtl/>
        </w:rPr>
        <w:t xml:space="preserve">, </w:t>
      </w:r>
      <w:r w:rsidRPr="00283BA0">
        <w:rPr>
          <w:rtl/>
        </w:rPr>
        <w:t xml:space="preserve">כי </w:t>
      </w:r>
      <w:r w:rsidRPr="00283BA0">
        <w:rPr>
          <w:rFonts w:hint="eastAsia"/>
          <w:rtl/>
        </w:rPr>
        <w:t>הממונה</w:t>
      </w:r>
      <w:r w:rsidRPr="00283BA0">
        <w:rPr>
          <w:rtl/>
        </w:rPr>
        <w:t xml:space="preserve"> </w:t>
      </w:r>
      <w:r w:rsidRPr="00283BA0">
        <w:rPr>
          <w:rFonts w:hint="eastAsia"/>
          <w:rtl/>
        </w:rPr>
        <w:t>רשאית</w:t>
      </w:r>
      <w:r w:rsidRPr="00283BA0">
        <w:rPr>
          <w:rtl/>
        </w:rPr>
        <w:t xml:space="preserve"> </w:t>
      </w:r>
      <w:r w:rsidRPr="00283BA0">
        <w:rPr>
          <w:rFonts w:hint="eastAsia"/>
          <w:rtl/>
        </w:rPr>
        <w:t>להטיל</w:t>
      </w:r>
      <w:r w:rsidRPr="00283BA0">
        <w:rPr>
          <w:rtl/>
        </w:rPr>
        <w:t xml:space="preserve"> </w:t>
      </w:r>
      <w:r w:rsidRPr="00283BA0">
        <w:rPr>
          <w:rFonts w:hint="eastAsia"/>
          <w:rtl/>
        </w:rPr>
        <w:t>על</w:t>
      </w:r>
      <w:r w:rsidRPr="00283BA0">
        <w:rPr>
          <w:rtl/>
        </w:rPr>
        <w:t xml:space="preserve"> </w:t>
      </w:r>
      <w:r w:rsidRPr="00283BA0">
        <w:rPr>
          <w:rFonts w:hint="eastAsia"/>
          <w:rtl/>
        </w:rPr>
        <w:t>חברה</w:t>
      </w:r>
      <w:r w:rsidRPr="00283BA0">
        <w:rPr>
          <w:rFonts w:hint="cs"/>
          <w:rtl/>
        </w:rPr>
        <w:t xml:space="preserve"> </w:t>
      </w:r>
      <w:r w:rsidRPr="00283BA0">
        <w:rPr>
          <w:rtl/>
        </w:rPr>
        <w:t xml:space="preserve">– </w:t>
      </w:r>
      <w:r w:rsidRPr="00283BA0">
        <w:rPr>
          <w:rFonts w:hint="eastAsia"/>
          <w:rtl/>
        </w:rPr>
        <w:t>שמחזור</w:t>
      </w:r>
      <w:r w:rsidRPr="00283BA0">
        <w:rPr>
          <w:rtl/>
        </w:rPr>
        <w:t xml:space="preserve"> </w:t>
      </w:r>
      <w:r w:rsidRPr="00283BA0">
        <w:rPr>
          <w:rFonts w:hint="eastAsia"/>
          <w:rtl/>
        </w:rPr>
        <w:t>המכירות</w:t>
      </w:r>
      <w:r w:rsidRPr="00283BA0">
        <w:rPr>
          <w:rtl/>
        </w:rPr>
        <w:t xml:space="preserve"> </w:t>
      </w:r>
      <w:r w:rsidRPr="00283BA0">
        <w:rPr>
          <w:rFonts w:hint="eastAsia"/>
          <w:rtl/>
        </w:rPr>
        <w:t>שלה</w:t>
      </w:r>
      <w:r w:rsidRPr="00283BA0">
        <w:rPr>
          <w:rFonts w:hint="cs"/>
          <w:rtl/>
        </w:rPr>
        <w:t xml:space="preserve">  </w:t>
      </w:r>
      <w:r w:rsidRPr="00283BA0">
        <w:rPr>
          <w:rFonts w:hint="eastAsia"/>
          <w:rtl/>
        </w:rPr>
        <w:t>בשנה</w:t>
      </w:r>
      <w:r w:rsidRPr="00283BA0">
        <w:rPr>
          <w:rtl/>
        </w:rPr>
        <w:t xml:space="preserve"> </w:t>
      </w:r>
      <w:r w:rsidRPr="00283BA0">
        <w:rPr>
          <w:rFonts w:hint="eastAsia"/>
          <w:rtl/>
        </w:rPr>
        <w:t>שקדמה</w:t>
      </w:r>
      <w:r w:rsidRPr="00283BA0">
        <w:rPr>
          <w:rtl/>
        </w:rPr>
        <w:t xml:space="preserve"> </w:t>
      </w:r>
      <w:r w:rsidRPr="00283BA0">
        <w:rPr>
          <w:rFonts w:hint="eastAsia"/>
          <w:rtl/>
        </w:rPr>
        <w:t>ל</w:t>
      </w:r>
      <w:r w:rsidRPr="00283BA0">
        <w:rPr>
          <w:rFonts w:hint="cs"/>
          <w:rtl/>
        </w:rPr>
        <w:t xml:space="preserve">שנת הכספים שבה בוצעה ההפרה </w:t>
      </w:r>
      <w:r w:rsidRPr="00283BA0">
        <w:rPr>
          <w:rFonts w:hint="eastAsia"/>
          <w:rtl/>
        </w:rPr>
        <w:t>עלה</w:t>
      </w:r>
      <w:r w:rsidRPr="00283BA0">
        <w:rPr>
          <w:rtl/>
        </w:rPr>
        <w:t xml:space="preserve"> </w:t>
      </w:r>
      <w:r w:rsidRPr="00283BA0">
        <w:rPr>
          <w:rFonts w:hint="eastAsia"/>
          <w:rtl/>
        </w:rPr>
        <w:t>על</w:t>
      </w:r>
      <w:r w:rsidRPr="00283BA0">
        <w:rPr>
          <w:rtl/>
        </w:rPr>
        <w:t xml:space="preserve"> 10 </w:t>
      </w:r>
      <w:r w:rsidRPr="00283BA0">
        <w:rPr>
          <w:rFonts w:hint="eastAsia"/>
          <w:rtl/>
        </w:rPr>
        <w:t>מיליון</w:t>
      </w:r>
      <w:r w:rsidRPr="00283BA0">
        <w:rPr>
          <w:rtl/>
        </w:rPr>
        <w:t xml:space="preserve"> </w:t>
      </w:r>
      <w:r w:rsidRPr="00283BA0">
        <w:rPr>
          <w:rFonts w:hint="cs"/>
          <w:rtl/>
        </w:rPr>
        <w:t xml:space="preserve">ש"ח </w:t>
      </w:r>
      <w:r w:rsidRPr="00283BA0">
        <w:rPr>
          <w:rtl/>
        </w:rPr>
        <w:t>–</w:t>
      </w:r>
      <w:r w:rsidRPr="00283BA0">
        <w:rPr>
          <w:rFonts w:hint="cs"/>
          <w:rtl/>
        </w:rPr>
        <w:t xml:space="preserve"> </w:t>
      </w:r>
      <w:r w:rsidRPr="00283BA0">
        <w:rPr>
          <w:rtl/>
        </w:rPr>
        <w:t>עיצום כספי של עד 3% ממחזור המכירות כאמור ועד לסכום</w:t>
      </w:r>
      <w:r w:rsidRPr="00283BA0">
        <w:rPr>
          <w:rFonts w:hint="cs"/>
          <w:rtl/>
        </w:rPr>
        <w:t xml:space="preserve"> </w:t>
      </w:r>
      <w:proofErr w:type="spellStart"/>
      <w:r w:rsidRPr="00283BA0">
        <w:rPr>
          <w:rFonts w:hint="cs"/>
          <w:rtl/>
        </w:rPr>
        <w:t>המירבי</w:t>
      </w:r>
      <w:proofErr w:type="spellEnd"/>
      <w:r w:rsidRPr="00283BA0">
        <w:rPr>
          <w:rFonts w:hint="cs"/>
          <w:rtl/>
        </w:rPr>
        <w:t xml:space="preserve"> של</w:t>
      </w:r>
      <w:r w:rsidRPr="00283BA0">
        <w:rPr>
          <w:rtl/>
        </w:rPr>
        <w:t xml:space="preserve"> 7,967,620 </w:t>
      </w:r>
      <w:r w:rsidRPr="00283BA0">
        <w:rPr>
          <w:rFonts w:hint="cs"/>
          <w:rtl/>
        </w:rPr>
        <w:t xml:space="preserve">ש"ח, בגין הפרת </w:t>
      </w:r>
      <w:r w:rsidRPr="00283BA0">
        <w:rPr>
          <w:rtl/>
        </w:rPr>
        <w:t xml:space="preserve">חובות הדיווח הקבועות בסעיפים 12 </w:t>
      </w:r>
      <w:r w:rsidRPr="00283BA0">
        <w:rPr>
          <w:rFonts w:hint="cs"/>
          <w:rtl/>
        </w:rPr>
        <w:t xml:space="preserve">או </w:t>
      </w:r>
      <w:r w:rsidRPr="00283BA0">
        <w:rPr>
          <w:rtl/>
        </w:rPr>
        <w:t>21 לחוק המזון</w:t>
      </w:r>
      <w:r w:rsidRPr="00283BA0">
        <w:rPr>
          <w:rFonts w:hint="cs"/>
          <w:rtl/>
        </w:rPr>
        <w:t>.</w:t>
      </w:r>
    </w:p>
    <w:p w:rsidR="00A62C61" w:rsidRDefault="00A62C61" w:rsidP="00A62C61">
      <w:pPr>
        <w:pStyle w:val="ListParagraph"/>
        <w:numPr>
          <w:ilvl w:val="0"/>
          <w:numId w:val="2"/>
        </w:numPr>
        <w:spacing w:before="120"/>
      </w:pPr>
      <w:r w:rsidRPr="00283BA0">
        <w:rPr>
          <w:rFonts w:hint="eastAsia"/>
          <w:rtl/>
        </w:rPr>
        <w:t>בהתאם</w:t>
      </w:r>
      <w:r w:rsidRPr="00283BA0">
        <w:rPr>
          <w:rtl/>
        </w:rPr>
        <w:t xml:space="preserve"> </w:t>
      </w:r>
      <w:r w:rsidRPr="00283BA0">
        <w:rPr>
          <w:rFonts w:hint="eastAsia"/>
          <w:rtl/>
        </w:rPr>
        <w:t>לסעיף</w:t>
      </w:r>
      <w:r w:rsidRPr="00283BA0">
        <w:rPr>
          <w:rtl/>
        </w:rPr>
        <w:t xml:space="preserve"> 28 </w:t>
      </w:r>
      <w:r w:rsidRPr="00283BA0">
        <w:rPr>
          <w:rFonts w:hint="eastAsia"/>
          <w:rtl/>
        </w:rPr>
        <w:t>לחוק</w:t>
      </w:r>
      <w:r w:rsidRPr="00283BA0">
        <w:rPr>
          <w:rtl/>
        </w:rPr>
        <w:t xml:space="preserve"> </w:t>
      </w:r>
      <w:r w:rsidRPr="00283BA0">
        <w:rPr>
          <w:rFonts w:hint="eastAsia"/>
          <w:rtl/>
        </w:rPr>
        <w:t>המזון</w:t>
      </w:r>
      <w:r w:rsidRPr="00283BA0">
        <w:rPr>
          <w:rFonts w:hint="cs"/>
          <w:rtl/>
        </w:rPr>
        <w:t>,</w:t>
      </w:r>
      <w:r w:rsidRPr="00283BA0">
        <w:rPr>
          <w:rtl/>
        </w:rPr>
        <w:t xml:space="preserve"> </w:t>
      </w:r>
      <w:r w:rsidRPr="00283BA0">
        <w:rPr>
          <w:rFonts w:hint="eastAsia"/>
          <w:rtl/>
        </w:rPr>
        <w:t>על</w:t>
      </w:r>
      <w:r w:rsidRPr="00283BA0">
        <w:rPr>
          <w:rtl/>
        </w:rPr>
        <w:t xml:space="preserve"> </w:t>
      </w:r>
      <w:r w:rsidRPr="00283BA0">
        <w:rPr>
          <w:rFonts w:hint="eastAsia"/>
          <w:rtl/>
        </w:rPr>
        <w:t>החלטת</w:t>
      </w:r>
      <w:r w:rsidRPr="00283BA0">
        <w:rPr>
          <w:rtl/>
        </w:rPr>
        <w:t xml:space="preserve"> </w:t>
      </w:r>
      <w:r w:rsidRPr="00283BA0">
        <w:rPr>
          <w:rFonts w:hint="eastAsia"/>
          <w:rtl/>
        </w:rPr>
        <w:t>הממונה</w:t>
      </w:r>
      <w:r w:rsidRPr="00283BA0">
        <w:rPr>
          <w:rtl/>
        </w:rPr>
        <w:t xml:space="preserve"> </w:t>
      </w:r>
      <w:r w:rsidRPr="00283BA0">
        <w:rPr>
          <w:rFonts w:hint="eastAsia"/>
          <w:rtl/>
        </w:rPr>
        <w:t>להטיל</w:t>
      </w:r>
      <w:r w:rsidRPr="00283BA0">
        <w:rPr>
          <w:rtl/>
        </w:rPr>
        <w:t xml:space="preserve"> </w:t>
      </w:r>
      <w:r w:rsidRPr="00283BA0">
        <w:rPr>
          <w:rFonts w:hint="eastAsia"/>
          <w:rtl/>
        </w:rPr>
        <w:t>עיצום</w:t>
      </w:r>
      <w:r w:rsidRPr="00283BA0">
        <w:rPr>
          <w:rtl/>
        </w:rPr>
        <w:t xml:space="preserve"> </w:t>
      </w:r>
      <w:r w:rsidRPr="00283BA0">
        <w:rPr>
          <w:rFonts w:hint="eastAsia"/>
          <w:rtl/>
        </w:rPr>
        <w:t>כספי</w:t>
      </w:r>
      <w:r w:rsidRPr="00283BA0">
        <w:rPr>
          <w:rtl/>
        </w:rPr>
        <w:t xml:space="preserve"> </w:t>
      </w:r>
      <w:r w:rsidRPr="00283BA0">
        <w:rPr>
          <w:rFonts w:hint="eastAsia"/>
          <w:rtl/>
        </w:rPr>
        <w:t>יחולו</w:t>
      </w:r>
      <w:r w:rsidRPr="00283BA0">
        <w:rPr>
          <w:rtl/>
        </w:rPr>
        <w:t xml:space="preserve"> </w:t>
      </w:r>
      <w:r w:rsidRPr="00283BA0">
        <w:rPr>
          <w:rFonts w:hint="eastAsia"/>
          <w:rtl/>
        </w:rPr>
        <w:t>הוראות</w:t>
      </w:r>
      <w:r w:rsidRPr="00283BA0">
        <w:rPr>
          <w:rtl/>
        </w:rPr>
        <w:t xml:space="preserve"> </w:t>
      </w:r>
      <w:r w:rsidRPr="00283BA0">
        <w:rPr>
          <w:rFonts w:hint="eastAsia"/>
          <w:rtl/>
        </w:rPr>
        <w:t>סעיפים</w:t>
      </w:r>
      <w:r w:rsidRPr="00283BA0">
        <w:rPr>
          <w:rtl/>
        </w:rPr>
        <w:t xml:space="preserve"> 50ה </w:t>
      </w:r>
      <w:r w:rsidRPr="00283BA0">
        <w:rPr>
          <w:rFonts w:hint="eastAsia"/>
          <w:rtl/>
        </w:rPr>
        <w:t>עד</w:t>
      </w:r>
      <w:r w:rsidRPr="00283BA0">
        <w:rPr>
          <w:rtl/>
        </w:rPr>
        <w:t xml:space="preserve"> 50</w:t>
      </w:r>
      <w:r w:rsidRPr="00283BA0">
        <w:rPr>
          <w:rFonts w:hint="eastAsia"/>
          <w:rtl/>
        </w:rPr>
        <w:t>טז</w:t>
      </w:r>
      <w:r w:rsidRPr="00283BA0">
        <w:rPr>
          <w:rtl/>
        </w:rPr>
        <w:t xml:space="preserve"> </w:t>
      </w:r>
      <w:r w:rsidRPr="00283BA0">
        <w:rPr>
          <w:rFonts w:hint="eastAsia"/>
          <w:rtl/>
        </w:rPr>
        <w:t>לחוק</w:t>
      </w:r>
      <w:r w:rsidRPr="00283BA0">
        <w:rPr>
          <w:rtl/>
        </w:rPr>
        <w:t xml:space="preserve"> </w:t>
      </w:r>
      <w:r w:rsidRPr="00283BA0">
        <w:rPr>
          <w:rFonts w:hint="eastAsia"/>
          <w:rtl/>
        </w:rPr>
        <w:t>ההגבלים</w:t>
      </w:r>
      <w:r w:rsidRPr="003F17BC">
        <w:rPr>
          <w:rtl/>
        </w:rPr>
        <w:t xml:space="preserve"> </w:t>
      </w:r>
      <w:r w:rsidRPr="003F17BC">
        <w:rPr>
          <w:rFonts w:hint="eastAsia"/>
          <w:rtl/>
        </w:rPr>
        <w:t>העסקיים</w:t>
      </w:r>
      <w:r>
        <w:rPr>
          <w:rFonts w:hint="cs"/>
          <w:rtl/>
        </w:rPr>
        <w:t xml:space="preserve">, בשינויים המחויבים, ובכלל זאת יילקחו בחשבון השיקולים הקבועים </w:t>
      </w:r>
      <w:r w:rsidRPr="003F17BC">
        <w:rPr>
          <w:rtl/>
        </w:rPr>
        <w:t>בסעיף 50ה לחוק ההגבלים העסקיים.</w:t>
      </w:r>
      <w:r>
        <w:rPr>
          <w:rFonts w:hint="cs"/>
          <w:rtl/>
        </w:rPr>
        <w:t xml:space="preserve"> </w:t>
      </w:r>
    </w:p>
    <w:p w:rsidR="00A62C61" w:rsidRDefault="00A62C61" w:rsidP="00A62C61">
      <w:pPr>
        <w:pStyle w:val="ListParagraph"/>
        <w:numPr>
          <w:ilvl w:val="0"/>
          <w:numId w:val="2"/>
        </w:numPr>
        <w:spacing w:before="120"/>
      </w:pPr>
      <w:r>
        <w:rPr>
          <w:rFonts w:hint="cs"/>
          <w:rtl/>
        </w:rPr>
        <w:t>סעיף 50ה לחוק ההגבלים העסקיים מפרט רשימה בלתי ממצה של שיקולים אותם תשקול הממונה בבואה לקבוע את סכום העיצום הכספי. שיקולי הממונה לקביעת סכום העיצום הכספי פורטו בגילוי דעת 1/16: שיקולי הממונה על הגבלים עסקיים בקביעת גובה עיצום כספי (26.10.2016) הגבלים עסקיים 501072 (להלן: "</w:t>
      </w:r>
      <w:r>
        <w:rPr>
          <w:rFonts w:hint="cs"/>
          <w:b/>
          <w:bCs/>
          <w:rtl/>
        </w:rPr>
        <w:t>גילוי הדעת"</w:t>
      </w:r>
      <w:r>
        <w:rPr>
          <w:rFonts w:hint="cs"/>
          <w:rtl/>
        </w:rPr>
        <w:t>). שיקולי הממונה לקביעת סכום העיצום כפי שפורטו שם, ישמשו ככלל גם לקביעת סכום העיצום בגין הפרת חוק המזון, בשינויים המחויבים.</w:t>
      </w:r>
    </w:p>
    <w:p w:rsidR="00A62C61" w:rsidRDefault="00A62C61" w:rsidP="00A62C61">
      <w:pPr>
        <w:pStyle w:val="ListParagraph"/>
        <w:numPr>
          <w:ilvl w:val="0"/>
          <w:numId w:val="2"/>
        </w:numPr>
        <w:spacing w:before="120"/>
      </w:pPr>
      <w:r>
        <w:rPr>
          <w:rFonts w:hint="cs"/>
          <w:rtl/>
        </w:rPr>
        <w:t xml:space="preserve">בעניין דנן, במסגרת שיקוליה בקביעת גובה העיצום שקלה הממונה, בין היתר, את גובה מחזור המכירות של החברה, אשר כקמעונאי גדול, עומד, לכל הפחות על </w:t>
      </w:r>
      <w:r w:rsidRPr="00B83778">
        <w:rPr>
          <w:rtl/>
        </w:rPr>
        <w:t>247,995,866</w:t>
      </w:r>
      <w:r>
        <w:rPr>
          <w:rFonts w:hint="cs"/>
          <w:rtl/>
        </w:rPr>
        <w:t xml:space="preserve"> ש"ח ומכאן שגובה העיצום המקסימאלי אותו ניתן להטיל החברה עומד, לכל הפחות</w:t>
      </w:r>
      <w:r w:rsidR="0029579D">
        <w:rPr>
          <w:rFonts w:hint="cs"/>
          <w:rtl/>
        </w:rPr>
        <w:t xml:space="preserve"> </w:t>
      </w:r>
      <w:r>
        <w:rPr>
          <w:rFonts w:hint="cs"/>
          <w:rtl/>
        </w:rPr>
        <w:t>על כ-7,440,000 ש"ח.</w:t>
      </w:r>
      <w:r>
        <w:rPr>
          <w:rStyle w:val="FootnoteReference"/>
        </w:rPr>
        <w:footnoteReference w:id="1"/>
      </w:r>
      <w:r>
        <w:rPr>
          <w:rFonts w:hint="cs"/>
          <w:rtl/>
        </w:rPr>
        <w:t xml:space="preserve"> כן שקלה הממונה את חומרת ההפרה, בין היתר על רקע משך זמן ההפרה וחשיבות הציות לחובת הדיווח</w:t>
      </w:r>
      <w:r w:rsidDel="00FD3C83">
        <w:rPr>
          <w:rFonts w:hint="cs"/>
          <w:rtl/>
        </w:rPr>
        <w:t xml:space="preserve"> </w:t>
      </w:r>
      <w:r>
        <w:rPr>
          <w:rFonts w:hint="cs"/>
          <w:rtl/>
        </w:rPr>
        <w:t xml:space="preserve">הקבועה בחוק. </w:t>
      </w:r>
      <w:r w:rsidRPr="00FD3C83">
        <w:rPr>
          <w:rtl/>
        </w:rPr>
        <w:t>בנסיבות המקרה, ובמיוחד נוכח משכה הקצר של ההפרה</w:t>
      </w:r>
      <w:r>
        <w:rPr>
          <w:rFonts w:hint="cs"/>
          <w:rtl/>
        </w:rPr>
        <w:t xml:space="preserve"> </w:t>
      </w:r>
      <w:r>
        <w:rPr>
          <w:rtl/>
        </w:rPr>
        <w:t>–</w:t>
      </w:r>
      <w:r w:rsidRPr="00FD3C83">
        <w:rPr>
          <w:rFonts w:hint="cs"/>
          <w:rtl/>
        </w:rPr>
        <w:t xml:space="preserve"> </w:t>
      </w:r>
      <w:r>
        <w:rPr>
          <w:rFonts w:hint="cs"/>
          <w:rtl/>
        </w:rPr>
        <w:t xml:space="preserve">אשר עד למועד כתיבת הודעת הממונה עמד על ימים בודדים </w:t>
      </w:r>
      <w:r>
        <w:rPr>
          <w:rtl/>
        </w:rPr>
        <w:t>–</w:t>
      </w:r>
      <w:r>
        <w:rPr>
          <w:rFonts w:hint="cs"/>
          <w:rtl/>
        </w:rPr>
        <w:t xml:space="preserve"> </w:t>
      </w:r>
      <w:r w:rsidRPr="00FD3C83">
        <w:rPr>
          <w:rtl/>
        </w:rPr>
        <w:t xml:space="preserve"> מדובר</w:t>
      </w:r>
      <w:r>
        <w:rPr>
          <w:rFonts w:hint="cs"/>
          <w:rtl/>
        </w:rPr>
        <w:t xml:space="preserve"> </w:t>
      </w:r>
      <w:r w:rsidRPr="00FD3C83">
        <w:rPr>
          <w:rtl/>
        </w:rPr>
        <w:t xml:space="preserve">בהפרה שלא הקימה פוטנציאל לפגיעה </w:t>
      </w:r>
      <w:r>
        <w:rPr>
          <w:rFonts w:hint="cs"/>
          <w:rtl/>
        </w:rPr>
        <w:t xml:space="preserve">של ממש </w:t>
      </w:r>
      <w:r w:rsidRPr="00FD3C83">
        <w:rPr>
          <w:rtl/>
        </w:rPr>
        <w:t>בתחרות</w:t>
      </w:r>
      <w:r>
        <w:rPr>
          <w:rFonts w:hint="cs"/>
          <w:rtl/>
        </w:rPr>
        <w:t>.</w:t>
      </w:r>
      <w:r w:rsidRPr="00FD3C83" w:rsidDel="00FD3C83">
        <w:rPr>
          <w:rFonts w:hint="cs"/>
          <w:rtl/>
        </w:rPr>
        <w:t xml:space="preserve"> </w:t>
      </w:r>
    </w:p>
    <w:p w:rsidR="00A62C61" w:rsidRDefault="00A62C61" w:rsidP="00A62C61">
      <w:pPr>
        <w:pStyle w:val="ListParagraph"/>
        <w:numPr>
          <w:ilvl w:val="0"/>
          <w:numId w:val="2"/>
        </w:numPr>
        <w:spacing w:before="120" w:after="0"/>
      </w:pPr>
      <w:r>
        <w:rPr>
          <w:rFonts w:hint="cs"/>
          <w:rtl/>
        </w:rPr>
        <w:t>לאחר בחינת מכלול נסיבות המקרה, הודיעה הממונה לחברה כי בכוונתה להטיל</w:t>
      </w:r>
      <w:r w:rsidRPr="00466F27">
        <w:rPr>
          <w:rFonts w:hint="cs"/>
          <w:rtl/>
        </w:rPr>
        <w:t xml:space="preserve"> על</w:t>
      </w:r>
      <w:r>
        <w:rPr>
          <w:rFonts w:hint="cs"/>
          <w:rtl/>
        </w:rPr>
        <w:t>יה</w:t>
      </w:r>
      <w:r w:rsidRPr="00466F27">
        <w:rPr>
          <w:rFonts w:hint="cs"/>
          <w:rtl/>
        </w:rPr>
        <w:t xml:space="preserve"> עיצום כספי בסך </w:t>
      </w:r>
      <w:r w:rsidRPr="00E573EB">
        <w:rPr>
          <w:rFonts w:hint="cs"/>
          <w:rtl/>
        </w:rPr>
        <w:t>100,000</w:t>
      </w:r>
      <w:r w:rsidRPr="00466F27">
        <w:rPr>
          <w:rFonts w:hint="cs"/>
          <w:rtl/>
        </w:rPr>
        <w:t xml:space="preserve"> ש"ח בגין </w:t>
      </w:r>
      <w:r>
        <w:rPr>
          <w:rFonts w:hint="cs"/>
          <w:rtl/>
        </w:rPr>
        <w:t>הפרת חובת הדיווח לפי חוק המזון</w:t>
      </w:r>
      <w:r w:rsidRPr="00466F27">
        <w:rPr>
          <w:rFonts w:hint="cs"/>
          <w:rtl/>
        </w:rPr>
        <w:t>.</w:t>
      </w:r>
      <w:r w:rsidDel="00BB0D32">
        <w:t xml:space="preserve"> </w:t>
      </w:r>
      <w:r>
        <w:rPr>
          <w:rFonts w:hint="cs"/>
          <w:rtl/>
        </w:rPr>
        <w:t xml:space="preserve">במסגרת זאת הובהר לחברה כי הסכום האמור נמוך באופן משמעותי מן הסכום אותו </w:t>
      </w:r>
      <w:proofErr w:type="spellStart"/>
      <w:r>
        <w:rPr>
          <w:rFonts w:hint="cs"/>
          <w:rtl/>
        </w:rPr>
        <w:t>היתה</w:t>
      </w:r>
      <w:proofErr w:type="spellEnd"/>
      <w:r>
        <w:rPr>
          <w:rFonts w:hint="cs"/>
          <w:rtl/>
        </w:rPr>
        <w:t xml:space="preserve"> הממונה מטילה על החברה אילו היה ניתן משקל מלא למחזור המכ</w:t>
      </w:r>
      <w:r w:rsidR="0029579D">
        <w:rPr>
          <w:rFonts w:hint="cs"/>
          <w:rtl/>
        </w:rPr>
        <w:t>ירות של החברה הסכום של 100,000 ש"ח</w:t>
      </w:r>
      <w:r>
        <w:rPr>
          <w:rFonts w:hint="cs"/>
          <w:rtl/>
        </w:rPr>
        <w:t xml:space="preserve"> נקבע, בין היתר, נוכח ההנחה והציפייה כי החברה תביא את ההפרה לסיום באופן </w:t>
      </w:r>
      <w:proofErr w:type="spellStart"/>
      <w:r>
        <w:rPr>
          <w:rFonts w:hint="cs"/>
          <w:rtl/>
        </w:rPr>
        <w:t>מיידי</w:t>
      </w:r>
      <w:proofErr w:type="spellEnd"/>
      <w:r>
        <w:rPr>
          <w:rFonts w:hint="cs"/>
          <w:rtl/>
        </w:rPr>
        <w:t xml:space="preserve"> ותמלא את חובות הדיווח המוטלות עליה בחוק. </w:t>
      </w:r>
    </w:p>
    <w:p w:rsidR="00A62C61" w:rsidRDefault="00A62C61" w:rsidP="00A62C61">
      <w:pPr>
        <w:pStyle w:val="ListParagraph"/>
        <w:numPr>
          <w:ilvl w:val="0"/>
          <w:numId w:val="2"/>
        </w:numPr>
        <w:spacing w:before="120" w:after="0"/>
      </w:pPr>
      <w:r>
        <w:rPr>
          <w:rFonts w:hint="cs"/>
          <w:rtl/>
        </w:rPr>
        <w:t>ואכן, עוד באותו היום בו נתקבלה</w:t>
      </w:r>
      <w:r>
        <w:rPr>
          <w:rFonts w:asciiTheme="minorHAnsi" w:hAnsiTheme="minorHAnsi" w:hint="cs"/>
          <w:rtl/>
        </w:rPr>
        <w:t xml:space="preserve"> </w:t>
      </w:r>
      <w:r>
        <w:rPr>
          <w:rFonts w:hint="cs"/>
          <w:rtl/>
        </w:rPr>
        <w:t>הודעת הממונה, העבירה החברה דיווח כנדרש.</w:t>
      </w:r>
    </w:p>
    <w:p w:rsidR="00A62C61" w:rsidRDefault="00A62C61" w:rsidP="00A62C61">
      <w:pPr>
        <w:pStyle w:val="ListParagraph"/>
        <w:spacing w:before="120" w:after="0"/>
      </w:pPr>
    </w:p>
    <w:p w:rsidR="00A62C61" w:rsidRDefault="00A62C61" w:rsidP="002C2ED3">
      <w:pPr>
        <w:pStyle w:val="Heading1"/>
        <w:rPr>
          <w:rtl/>
        </w:rPr>
      </w:pPr>
      <w:r w:rsidRPr="006971C7">
        <w:rPr>
          <w:rStyle w:val="410"/>
          <w:rFonts w:eastAsiaTheme="majorEastAsia" w:hint="cs"/>
          <w:b/>
          <w:bCs/>
          <w:rtl/>
        </w:rPr>
        <w:lastRenderedPageBreak/>
        <w:t xml:space="preserve">ד. </w:t>
      </w:r>
      <w:r w:rsidRPr="002C2ED3">
        <w:rPr>
          <w:rStyle w:val="410"/>
          <w:rFonts w:asciiTheme="majorHAnsi" w:eastAsiaTheme="majorEastAsia" w:hAnsiTheme="majorHAnsi" w:hint="cs"/>
          <w:b/>
          <w:bCs/>
          <w:rtl/>
        </w:rPr>
        <w:t>תשלום</w:t>
      </w:r>
      <w:r w:rsidRPr="00445978">
        <w:rPr>
          <w:rFonts w:hint="cs"/>
          <w:rtl/>
        </w:rPr>
        <w:t xml:space="preserve"> </w:t>
      </w:r>
      <w:r w:rsidRPr="002C2ED3">
        <w:rPr>
          <w:rFonts w:hint="cs"/>
          <w:rtl/>
        </w:rPr>
        <w:t>עיצום</w:t>
      </w:r>
      <w:r w:rsidRPr="00445978">
        <w:rPr>
          <w:rFonts w:hint="cs"/>
          <w:rtl/>
        </w:rPr>
        <w:t xml:space="preserve"> כספי בהסכמה</w:t>
      </w:r>
    </w:p>
    <w:p w:rsidR="00A62C61" w:rsidRDefault="00A62C61" w:rsidP="00A62C61">
      <w:pPr>
        <w:pStyle w:val="ListParagraph"/>
        <w:numPr>
          <w:ilvl w:val="0"/>
          <w:numId w:val="2"/>
        </w:numPr>
        <w:spacing w:before="120" w:after="0"/>
      </w:pPr>
      <w:r>
        <w:rPr>
          <w:rFonts w:hint="cs"/>
          <w:rtl/>
        </w:rPr>
        <w:t>לאחר משלוח הודעת הממונה, באה החברה בדין ודברים עם רשות ההגבלים העסקיים ביחס למעשה ההפרה במטרה להגיע להסכמות ביחס לגובה העיצום שיוטל על החברה, ולהוביל לסיום הליך האכיפה במהירות וביעילות. בסיום המגעים החברה הסכימה לוותר על הזכות המוקנית לה בסעיף 50ז(א) לחוק ה</w:t>
      </w:r>
      <w:r w:rsidR="00CA74A0">
        <w:rPr>
          <w:rFonts w:hint="cs"/>
          <w:rtl/>
        </w:rPr>
        <w:t>הגבלים העסקיים לטעון את טענותיה</w:t>
      </w:r>
      <w:r>
        <w:rPr>
          <w:rFonts w:hint="cs"/>
          <w:rtl/>
        </w:rPr>
        <w:t xml:space="preserve"> בפני הממונה ועל זכותה להגיש ערר בפני בית הדין מכוח סעיף 50(</w:t>
      </w:r>
      <w:proofErr w:type="spellStart"/>
      <w:r>
        <w:rPr>
          <w:rFonts w:hint="cs"/>
          <w:rtl/>
        </w:rPr>
        <w:t>יג</w:t>
      </w:r>
      <w:proofErr w:type="spellEnd"/>
      <w:r>
        <w:rPr>
          <w:rFonts w:hint="cs"/>
          <w:rtl/>
        </w:rPr>
        <w:t>) לחוק ההגבלים העסקיים על דרישת התשלום. בכפוף לאמור הממונה הסכימה להפחית את גובה העיצום הכספי שיוטל על החברה ל-60,000 ש"ח.</w:t>
      </w:r>
    </w:p>
    <w:p w:rsidR="00A62C61" w:rsidRDefault="00A62C61" w:rsidP="00A62C61">
      <w:pPr>
        <w:pStyle w:val="ListParagraph"/>
        <w:numPr>
          <w:ilvl w:val="0"/>
          <w:numId w:val="2"/>
        </w:numPr>
        <w:spacing w:before="120" w:after="0"/>
      </w:pPr>
      <w:r>
        <w:rPr>
          <w:rFonts w:hint="cs"/>
          <w:rtl/>
        </w:rPr>
        <w:t>הפחתת גובה העיצום כאמור משקפת חסכון משמעותי במשאבי הרשות שהיו מושקעים אילו היה מתנהל הליך השימוע לפי 50(ז)(א) לחוק ההגבלים העסקיים וכן ערר מכוח סעיף 50(</w:t>
      </w:r>
      <w:proofErr w:type="spellStart"/>
      <w:r>
        <w:rPr>
          <w:rFonts w:hint="cs"/>
          <w:rtl/>
        </w:rPr>
        <w:t>יג</w:t>
      </w:r>
      <w:proofErr w:type="spellEnd"/>
      <w:r>
        <w:rPr>
          <w:rFonts w:hint="cs"/>
          <w:rtl/>
        </w:rPr>
        <w:t xml:space="preserve">) לחוק ההגבלים העסקיים, אשר עשוי היה לגזול גם זמן שיפוטי רב. ההגעה להסכמות כאמור אף </w:t>
      </w:r>
      <w:r w:rsidRPr="00FC2A50">
        <w:rPr>
          <w:rFonts w:hint="cs"/>
          <w:rtl/>
        </w:rPr>
        <w:t>מאפשרת</w:t>
      </w:r>
      <w:r w:rsidRPr="00FC2A50">
        <w:rPr>
          <w:rtl/>
        </w:rPr>
        <w:t xml:space="preserve"> </w:t>
      </w:r>
      <w:r w:rsidRPr="00FC2A50">
        <w:rPr>
          <w:rFonts w:hint="eastAsia"/>
          <w:rtl/>
        </w:rPr>
        <w:t>לממונה</w:t>
      </w:r>
      <w:r w:rsidRPr="00FC2A50">
        <w:rPr>
          <w:rtl/>
        </w:rPr>
        <w:t xml:space="preserve"> להפנות </w:t>
      </w:r>
      <w:r w:rsidRPr="00FC2A50">
        <w:rPr>
          <w:rFonts w:hint="eastAsia"/>
          <w:rtl/>
        </w:rPr>
        <w:t>ממשאביה</w:t>
      </w:r>
      <w:r w:rsidRPr="00FC2A50">
        <w:rPr>
          <w:rtl/>
        </w:rPr>
        <w:t xml:space="preserve"> לטיפול</w:t>
      </w:r>
      <w:r>
        <w:rPr>
          <w:rFonts w:hint="cs"/>
          <w:rtl/>
        </w:rPr>
        <w:t xml:space="preserve"> </w:t>
      </w:r>
      <w:r w:rsidRPr="00FC2A50">
        <w:rPr>
          <w:rFonts w:hint="eastAsia"/>
          <w:rtl/>
        </w:rPr>
        <w:t>בנושאים</w:t>
      </w:r>
      <w:r w:rsidRPr="00FC2A50">
        <w:rPr>
          <w:rtl/>
        </w:rPr>
        <w:t xml:space="preserve"> </w:t>
      </w:r>
      <w:r>
        <w:rPr>
          <w:rFonts w:hint="cs"/>
          <w:rtl/>
        </w:rPr>
        <w:t>נוספים</w:t>
      </w:r>
      <w:r w:rsidRPr="00FC2A50">
        <w:rPr>
          <w:rtl/>
        </w:rPr>
        <w:t xml:space="preserve"> בעלי חשיבות ציבורי</w:t>
      </w:r>
      <w:r>
        <w:rPr>
          <w:rFonts w:hint="cs"/>
          <w:rtl/>
        </w:rPr>
        <w:t xml:space="preserve">ת. לאור כל האמור, הממונה הסכימה להפחית את סכום העיצום הכספי שהחברה תשלם ולהעמידו על סך של 60,000 ש"ח. </w:t>
      </w:r>
    </w:p>
    <w:p w:rsidR="00A62C61" w:rsidRDefault="00A62C61" w:rsidP="00A62C61">
      <w:pPr>
        <w:pStyle w:val="ListParagraph"/>
        <w:numPr>
          <w:ilvl w:val="0"/>
          <w:numId w:val="2"/>
        </w:numPr>
        <w:spacing w:before="120" w:after="0"/>
      </w:pPr>
      <w:r>
        <w:rPr>
          <w:rFonts w:hint="cs"/>
          <w:rtl/>
        </w:rPr>
        <w:t xml:space="preserve">למען הסר ספק, יובהר כי בכפוף לתשלום סכום העיצום, לא ינקטו הממונה או הרשות צעדי אכיפה כנגד החברה או מי מטעמה, לרבות נושאי משרה, עובדים ובעלי המניות, בעבר או בהווה בגין הפרה של חובת הדיווח הקבועה בחוק המזון לשנת 2017, המפורטת בפרק ב' לעיל. </w:t>
      </w:r>
    </w:p>
    <w:p w:rsidR="00A62C61" w:rsidRPr="00283BA0" w:rsidRDefault="00A62C61" w:rsidP="00A62C61">
      <w:pPr>
        <w:pStyle w:val="ListParagraph"/>
        <w:numPr>
          <w:ilvl w:val="0"/>
          <w:numId w:val="2"/>
        </w:numPr>
        <w:spacing w:before="120" w:after="0"/>
        <w:rPr>
          <w:rFonts w:eastAsiaTheme="minorEastAsia" w:cs="Times New Roman"/>
          <w:rtl/>
        </w:rPr>
      </w:pPr>
      <w:r>
        <w:rPr>
          <w:rFonts w:hint="cs"/>
          <w:rtl/>
        </w:rPr>
        <w:t>בהתאם לסעיף 50ח(א)(1) לחוק, ביום 18.6.2018 נועצתי בוועדה לפטורים ולמיזוגים בעניין החלטתי להטיל עיצום כספי על החברה וגובה העיצום.</w:t>
      </w:r>
    </w:p>
    <w:p w:rsidR="00A62C61" w:rsidRDefault="00A62C61" w:rsidP="00A62C61">
      <w:pPr>
        <w:pStyle w:val="ListParagraph"/>
        <w:numPr>
          <w:ilvl w:val="0"/>
          <w:numId w:val="2"/>
        </w:numPr>
        <w:spacing w:before="120" w:after="0"/>
        <w:rPr>
          <w:rFonts w:eastAsiaTheme="minorEastAsia" w:cs="Times New Roman"/>
          <w:rtl/>
        </w:rPr>
      </w:pPr>
      <w:r>
        <w:rPr>
          <w:rFonts w:hint="cs"/>
          <w:rtl/>
        </w:rPr>
        <w:t xml:space="preserve">הוועדה המליצה, פה אחד, על הטלת עיצום כספי, בהסכמה, בגובה 60,000 ש"ח. </w:t>
      </w:r>
    </w:p>
    <w:p w:rsidR="00A62C61" w:rsidRDefault="00A62C61" w:rsidP="00A62C61">
      <w:pPr>
        <w:pStyle w:val="ListParagraph"/>
        <w:numPr>
          <w:ilvl w:val="0"/>
          <w:numId w:val="2"/>
        </w:numPr>
        <w:spacing w:before="120" w:after="0"/>
      </w:pPr>
      <w:r w:rsidRPr="00466F27">
        <w:rPr>
          <w:rFonts w:hint="cs"/>
          <w:rtl/>
        </w:rPr>
        <w:t>העיצום</w:t>
      </w:r>
      <w:r>
        <w:rPr>
          <w:rFonts w:hint="cs"/>
          <w:rtl/>
        </w:rPr>
        <w:t xml:space="preserve"> ישולם תוך</w:t>
      </w:r>
      <w:r w:rsidRPr="00466F27">
        <w:rPr>
          <w:rFonts w:hint="cs"/>
          <w:rtl/>
        </w:rPr>
        <w:t xml:space="preserve"> 30 יום ממועד מסירת </w:t>
      </w:r>
      <w:r>
        <w:rPr>
          <w:rFonts w:hint="cs"/>
          <w:rtl/>
        </w:rPr>
        <w:t>החלטה זו</w:t>
      </w:r>
      <w:r w:rsidRPr="00466F27">
        <w:rPr>
          <w:rFonts w:hint="cs"/>
          <w:rtl/>
        </w:rPr>
        <w:t>.</w:t>
      </w:r>
    </w:p>
    <w:p w:rsidR="00A62C61" w:rsidRDefault="00A62C61" w:rsidP="00A62C61">
      <w:pPr>
        <w:pStyle w:val="ListParagraph"/>
        <w:spacing w:before="120" w:after="0"/>
      </w:pPr>
    </w:p>
    <w:p w:rsidR="00A62C61" w:rsidRDefault="00A62C61" w:rsidP="00A62C61">
      <w:pPr>
        <w:pStyle w:val="BodyText"/>
        <w:ind w:left="360"/>
        <w:rPr>
          <w:rtl/>
        </w:rPr>
      </w:pPr>
    </w:p>
    <w:p w:rsidR="00A62C61" w:rsidRDefault="00A62C61" w:rsidP="006971C7">
      <w:pPr>
        <w:pStyle w:val="BodyText"/>
        <w:rPr>
          <w:rtl/>
        </w:rPr>
      </w:pPr>
      <w:r>
        <w:rPr>
          <w:rFonts w:hint="cs"/>
          <w:rtl/>
        </w:rPr>
        <w:t xml:space="preserve">ירושלים, </w:t>
      </w:r>
      <w:proofErr w:type="spellStart"/>
      <w:r w:rsidR="00A92122">
        <w:rPr>
          <w:rFonts w:hint="cs"/>
          <w:rtl/>
        </w:rPr>
        <w:t>יג</w:t>
      </w:r>
      <w:proofErr w:type="spellEnd"/>
      <w:r w:rsidR="006971C7">
        <w:rPr>
          <w:rFonts w:hint="cs"/>
          <w:rtl/>
        </w:rPr>
        <w:t xml:space="preserve"> תמוז תשע"ח</w:t>
      </w:r>
    </w:p>
    <w:p w:rsidR="00A62C61" w:rsidRDefault="006971C7" w:rsidP="00A92122">
      <w:pPr>
        <w:pStyle w:val="BodyText"/>
        <w:rPr>
          <w:rtl/>
        </w:rPr>
      </w:pPr>
      <w:r>
        <w:rPr>
          <w:rFonts w:hint="cs"/>
          <w:rtl/>
        </w:rPr>
        <w:t>2</w:t>
      </w:r>
      <w:r w:rsidR="00A92122">
        <w:rPr>
          <w:rFonts w:hint="cs"/>
          <w:rtl/>
        </w:rPr>
        <w:t>6</w:t>
      </w:r>
      <w:r>
        <w:rPr>
          <w:rFonts w:hint="cs"/>
          <w:rtl/>
        </w:rPr>
        <w:t>.06.2018</w:t>
      </w:r>
    </w:p>
    <w:p w:rsidR="00A62C61" w:rsidRDefault="00A62C61" w:rsidP="00A62C61">
      <w:pPr>
        <w:pStyle w:val="BodyText"/>
        <w:rPr>
          <w:rtl/>
        </w:rPr>
      </w:pP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t>מיכל הלפרין</w:t>
      </w:r>
    </w:p>
    <w:p w:rsidR="00A62C61" w:rsidRDefault="00A62C61" w:rsidP="00A62C61">
      <w:pPr>
        <w:pStyle w:val="BodyText"/>
        <w:rPr>
          <w:rtl/>
        </w:rPr>
      </w:pPr>
      <w:r>
        <w:rPr>
          <w:rFonts w:hint="cs"/>
          <w:rtl/>
        </w:rPr>
        <w:tab/>
      </w:r>
      <w:r>
        <w:rPr>
          <w:rFonts w:hint="cs"/>
          <w:rtl/>
        </w:rPr>
        <w:tab/>
      </w:r>
      <w:r>
        <w:rPr>
          <w:rFonts w:hint="cs"/>
          <w:rtl/>
        </w:rPr>
        <w:tab/>
      </w:r>
      <w:r>
        <w:rPr>
          <w:rFonts w:hint="cs"/>
          <w:rtl/>
        </w:rPr>
        <w:tab/>
      </w:r>
      <w:r>
        <w:rPr>
          <w:rFonts w:hint="cs"/>
          <w:rtl/>
        </w:rPr>
        <w:tab/>
      </w:r>
      <w:r>
        <w:rPr>
          <w:rFonts w:hint="cs"/>
          <w:rtl/>
        </w:rPr>
        <w:tab/>
      </w:r>
    </w:p>
    <w:p w:rsidR="00A62C61" w:rsidRPr="00803068" w:rsidRDefault="00A62C61" w:rsidP="00A62C61">
      <w:pPr>
        <w:pStyle w:val="BodyText"/>
        <w:rPr>
          <w:rtl/>
        </w:rPr>
      </w:pP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t xml:space="preserve"> הממונה על הגבלים עסקיים</w:t>
      </w:r>
    </w:p>
    <w:p w:rsidR="00A62C61" w:rsidRPr="00803068" w:rsidRDefault="00A62C61" w:rsidP="00A62C61">
      <w:pPr>
        <w:pStyle w:val="BodyText"/>
        <w:rPr>
          <w:rtl/>
        </w:rPr>
      </w:pPr>
    </w:p>
    <w:p w:rsidR="00A62C61" w:rsidRPr="00445978" w:rsidRDefault="00A62C61" w:rsidP="00A62C61">
      <w:pPr>
        <w:pStyle w:val="BodyText"/>
        <w:rPr>
          <w:rtl/>
        </w:rPr>
      </w:pPr>
    </w:p>
    <w:p w:rsidR="00A348E4" w:rsidRPr="00A62C61" w:rsidRDefault="00A348E4" w:rsidP="00A62C61"/>
    <w:sectPr w:rsidR="00A348E4" w:rsidRPr="00A62C61" w:rsidSect="001A5F11">
      <w:headerReference w:type="even" r:id="rId9"/>
      <w:headerReference w:type="default" r:id="rId10"/>
      <w:footerReference w:type="default" r:id="rId11"/>
      <w:headerReference w:type="first" r:id="rId12"/>
      <w:footerReference w:type="first" r:id="rId13"/>
      <w:pgSz w:w="11906" w:h="16838"/>
      <w:pgMar w:top="1418" w:right="1701" w:bottom="1418" w:left="1701" w:header="284" w:footer="465" w:gutter="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5DE" w:rsidRDefault="004D35DE" w:rsidP="00EB3D5E">
      <w:pPr>
        <w:spacing w:after="0" w:line="240" w:lineRule="auto"/>
      </w:pPr>
      <w:r>
        <w:separator/>
      </w:r>
    </w:p>
  </w:endnote>
  <w:endnote w:type="continuationSeparator" w:id="0">
    <w:p w:rsidR="004D35DE" w:rsidRDefault="004D35DE" w:rsidP="00EB3D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avid">
    <w:panose1 w:val="020E0502060401010101"/>
    <w:charset w:val="B1"/>
    <w:family w:val="swiss"/>
    <w:pitch w:val="variable"/>
    <w:sig w:usb0="00000801" w:usb1="00000000" w:usb2="00000000" w:usb3="00000000" w:csb0="0000002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F11" w:rsidRDefault="00C704B0" w:rsidP="001A5F11">
    <w:pPr>
      <w:pStyle w:val="Header"/>
      <w:jc w:val="center"/>
    </w:pPr>
    <w:r>
      <w:rPr>
        <w:rStyle w:val="PageNumber"/>
        <w:rtl/>
      </w:rPr>
      <w:fldChar w:fldCharType="begin"/>
    </w:r>
    <w:r>
      <w:rPr>
        <w:rStyle w:val="PageNumber"/>
      </w:rPr>
      <w:instrText xml:space="preserve">PAGE  </w:instrText>
    </w:r>
    <w:r>
      <w:rPr>
        <w:rStyle w:val="PageNumber"/>
        <w:rtl/>
      </w:rPr>
      <w:fldChar w:fldCharType="separate"/>
    </w:r>
    <w:r w:rsidR="002C2ED3">
      <w:rPr>
        <w:rStyle w:val="PageNumber"/>
        <w:noProof/>
        <w:rtl/>
      </w:rPr>
      <w:t>3</w:t>
    </w:r>
    <w:r>
      <w:rPr>
        <w:rStyle w:val="PageNumber"/>
        <w:rt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F11" w:rsidRPr="001D13D4" w:rsidRDefault="002C2ED3" w:rsidP="001D13D4">
    <w:pPr>
      <w:pStyle w:val="Footer"/>
      <w:jc w:val="both"/>
      <w:rPr>
        <w:rt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5DE" w:rsidRDefault="004D35DE" w:rsidP="00EB3D5E">
      <w:pPr>
        <w:spacing w:after="0" w:line="240" w:lineRule="auto"/>
      </w:pPr>
      <w:r>
        <w:separator/>
      </w:r>
    </w:p>
  </w:footnote>
  <w:footnote w:type="continuationSeparator" w:id="0">
    <w:p w:rsidR="004D35DE" w:rsidRDefault="004D35DE" w:rsidP="00EB3D5E">
      <w:pPr>
        <w:spacing w:after="0" w:line="240" w:lineRule="auto"/>
      </w:pPr>
      <w:r>
        <w:continuationSeparator/>
      </w:r>
    </w:p>
  </w:footnote>
  <w:footnote w:id="1">
    <w:p w:rsidR="00A62C61" w:rsidRDefault="00A62C61" w:rsidP="00A62C61">
      <w:pPr>
        <w:pStyle w:val="FootnoteText"/>
        <w:rPr>
          <w:rtl/>
        </w:rPr>
      </w:pPr>
      <w:r>
        <w:rPr>
          <w:rStyle w:val="FootnoteReference"/>
        </w:rPr>
        <w:footnoteRef/>
      </w:r>
      <w:r>
        <w:rPr>
          <w:rtl/>
        </w:rPr>
        <w:t xml:space="preserve"> </w:t>
      </w:r>
      <w:r>
        <w:rPr>
          <w:rFonts w:hint="cs"/>
          <w:rtl/>
        </w:rPr>
        <w:t>סכום זה מבוסס על מחזור המכירות המינימאלי הקבוע בהגדרת קמעונאי גדול לפי סעיף 2 לחוק המזון ולפיכך עשוי להשתנות בהתאם לגובה המחזור של התאגיד המפר.</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F11" w:rsidRDefault="00C704B0">
    <w:pPr>
      <w:pStyle w:val="Head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1A5F11" w:rsidRDefault="002C2ED3">
    <w:pPr>
      <w:pStyle w:val="Header"/>
      <w:rPr>
        <w:rt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F11" w:rsidRDefault="00C704B0" w:rsidP="00726B9C">
    <w:pPr>
      <w:pStyle w:val="Header"/>
      <w:jc w:val="center"/>
      <w:rPr>
        <w:rtl/>
      </w:rPr>
    </w:pPr>
    <w:r>
      <w:rPr>
        <w:rFonts w:cs="Arial"/>
        <w:noProof/>
        <w:rtl/>
      </w:rPr>
      <w:drawing>
        <wp:inline distT="0" distB="0" distL="0" distR="0" wp14:anchorId="76082BFE" wp14:editId="328CA0CA">
          <wp:extent cx="548640" cy="874644"/>
          <wp:effectExtent l="0" t="0" r="3810" b="1905"/>
          <wp:docPr id="2" name="תמונה 1" descr="C:\Users\angelate\AppData\Local\Microsoft\Windows\Temporary Internet Files\Content.Outlook\C55WEVW8\logohebr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gelate\AppData\Local\Microsoft\Windows\Temporary Internet Files\Content.Outlook\C55WEVW8\logohebrew.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0769" t="21129" r="29460" b="27492"/>
                  <a:stretch/>
                </pic:blipFill>
                <pic:spPr bwMode="auto">
                  <a:xfrm>
                    <a:off x="0" y="0"/>
                    <a:ext cx="551425" cy="879084"/>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C23" w:rsidRDefault="00C704B0" w:rsidP="00726B9C">
    <w:pPr>
      <w:pStyle w:val="Header"/>
      <w:jc w:val="center"/>
    </w:pPr>
    <w:r w:rsidRPr="00AC26AE">
      <w:rPr>
        <w:rFonts w:cs="Arial"/>
        <w:noProof/>
        <w:rtl/>
      </w:rPr>
      <w:t xml:space="preserve"> </w:t>
    </w:r>
    <w:r>
      <w:rPr>
        <w:rFonts w:cs="Arial"/>
        <w:noProof/>
        <w:rtl/>
      </w:rPr>
      <w:drawing>
        <wp:inline distT="0" distB="0" distL="0" distR="0" wp14:anchorId="51B99EA8" wp14:editId="59086FCB">
          <wp:extent cx="548640" cy="874644"/>
          <wp:effectExtent l="0" t="0" r="3810" b="1905"/>
          <wp:docPr id="1" name="תמונה 1" descr="C:\Users\angelate\AppData\Local\Microsoft\Windows\Temporary Internet Files\Content.Outlook\C55WEVW8\logohebr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gelate\AppData\Local\Microsoft\Windows\Temporary Internet Files\Content.Outlook\C55WEVW8\logohebrew.png"/>
                  <pic:cNvPicPr>
                    <a:picLocks noChangeAspect="1" noChangeArrowheads="1"/>
                  </pic:cNvPicPr>
                </pic:nvPicPr>
                <pic:blipFill rotWithShape="1">
                  <a:blip r:embed="rId1">
                    <a:extLst>
                      <a:ext uri="{28A0092B-C50C-407E-A947-70E740481C1C}">
                        <a14:useLocalDpi xmlns:a14="http://schemas.microsoft.com/office/drawing/2010/main" val="0"/>
                      </a:ext>
                    </a:extLst>
                  </a:blip>
                  <a:srcRect l="30769" t="21129" r="29460" b="27492"/>
                  <a:stretch/>
                </pic:blipFill>
                <pic:spPr bwMode="auto">
                  <a:xfrm>
                    <a:off x="0" y="0"/>
                    <a:ext cx="551425" cy="879084"/>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F46B4"/>
    <w:multiLevelType w:val="hybridMultilevel"/>
    <w:tmpl w:val="AB0C55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D62D93"/>
    <w:multiLevelType w:val="multilevel"/>
    <w:tmpl w:val="D2606A3C"/>
    <w:lvl w:ilvl="0">
      <w:start w:val="1"/>
      <w:numFmt w:val="decimal"/>
      <w:pStyle w:val="1"/>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588" w:hanging="681"/>
      </w:pPr>
      <w:rPr>
        <w:rFonts w:hint="default"/>
      </w:rPr>
    </w:lvl>
    <w:lvl w:ilvl="3">
      <w:start w:val="1"/>
      <w:numFmt w:val="decimal"/>
      <w:lvlText w:val="%1.%2.%3.%4."/>
      <w:lvlJc w:val="left"/>
      <w:pPr>
        <w:ind w:left="2438" w:hanging="850"/>
      </w:pPr>
      <w:rPr>
        <w:rFonts w:hint="default"/>
      </w:rPr>
    </w:lvl>
    <w:lvl w:ilvl="4">
      <w:start w:val="1"/>
      <w:numFmt w:val="decimal"/>
      <w:lvlText w:val="%1.%2.%3.%4.%5."/>
      <w:lvlJc w:val="left"/>
      <w:pPr>
        <w:ind w:left="3459" w:hanging="1021"/>
      </w:pPr>
      <w:rPr>
        <w:rFonts w:hint="default"/>
      </w:rPr>
    </w:lvl>
    <w:lvl w:ilvl="5">
      <w:start w:val="1"/>
      <w:numFmt w:val="decimal"/>
      <w:lvlText w:val="%1.%2.%3.%4.%5.%6."/>
      <w:lvlJc w:val="left"/>
      <w:pPr>
        <w:ind w:left="4649" w:hanging="1190"/>
      </w:pPr>
      <w:rPr>
        <w:rFonts w:hint="default"/>
      </w:rPr>
    </w:lvl>
    <w:lvl w:ilvl="6">
      <w:start w:val="1"/>
      <w:numFmt w:val="decimal"/>
      <w:lvlText w:val="%1.%2.%3.%4.%5.%6.%7."/>
      <w:lvlJc w:val="left"/>
      <w:pPr>
        <w:ind w:left="6010" w:hanging="1361"/>
      </w:pPr>
      <w:rPr>
        <w:rFonts w:hint="default"/>
      </w:rPr>
    </w:lvl>
    <w:lvl w:ilvl="7">
      <w:start w:val="1"/>
      <w:numFmt w:val="decimal"/>
      <w:lvlText w:val="%1.%2.%3.%4.%5.%6.%7.%8."/>
      <w:lvlJc w:val="left"/>
      <w:pPr>
        <w:ind w:left="7541" w:hanging="1531"/>
      </w:pPr>
      <w:rPr>
        <w:rFonts w:hint="default"/>
      </w:rPr>
    </w:lvl>
    <w:lvl w:ilvl="8">
      <w:start w:val="1"/>
      <w:numFmt w:val="decimal"/>
      <w:lvlText w:val="%1.%2.%3.%4.%5.%6.%7.%8.%9."/>
      <w:lvlJc w:val="left"/>
      <w:pPr>
        <w:ind w:left="9015" w:hanging="147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D5E"/>
    <w:rsid w:val="001F576C"/>
    <w:rsid w:val="0029579D"/>
    <w:rsid w:val="002C2ED3"/>
    <w:rsid w:val="00317DB3"/>
    <w:rsid w:val="00464B4A"/>
    <w:rsid w:val="004665AC"/>
    <w:rsid w:val="004D35DE"/>
    <w:rsid w:val="006971C7"/>
    <w:rsid w:val="0077190B"/>
    <w:rsid w:val="00A348E4"/>
    <w:rsid w:val="00A62C61"/>
    <w:rsid w:val="00A92122"/>
    <w:rsid w:val="00C704B0"/>
    <w:rsid w:val="00CA74A0"/>
    <w:rsid w:val="00EB3D5E"/>
    <w:rsid w:val="00F47B1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D5E"/>
    <w:pPr>
      <w:bidi/>
      <w:spacing w:after="120" w:line="360" w:lineRule="auto"/>
      <w:jc w:val="both"/>
    </w:pPr>
    <w:rPr>
      <w:rFonts w:ascii="David" w:eastAsia="Times New Roman" w:hAnsi="David" w:cs="David"/>
      <w:sz w:val="24"/>
      <w:szCs w:val="24"/>
    </w:rPr>
  </w:style>
  <w:style w:type="paragraph" w:styleId="Heading1">
    <w:name w:val="heading 1"/>
    <w:basedOn w:val="Normal"/>
    <w:next w:val="Normal"/>
    <w:link w:val="Heading1Char"/>
    <w:uiPriority w:val="9"/>
    <w:qFormat/>
    <w:rsid w:val="002C2ED3"/>
    <w:pPr>
      <w:keepNext/>
      <w:keepLines/>
      <w:spacing w:before="480" w:after="0"/>
      <w:outlineLvl w:val="0"/>
    </w:pPr>
    <w:rPr>
      <w:rFonts w:asciiTheme="majorHAnsi" w:eastAsiaTheme="majorEastAsia" w:hAnsiTheme="majorHAnsi"/>
      <w:b/>
      <w:bCs/>
      <w:sz w:val="28"/>
      <w:szCs w:val="28"/>
      <w:u w:val="single"/>
    </w:rPr>
  </w:style>
  <w:style w:type="paragraph" w:styleId="Heading2">
    <w:name w:val="heading 2"/>
    <w:basedOn w:val="Normal"/>
    <w:next w:val="Normal"/>
    <w:link w:val="Heading2Char"/>
    <w:uiPriority w:val="9"/>
    <w:unhideWhenUsed/>
    <w:qFormat/>
    <w:rsid w:val="002C2ED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1">
    <w:name w:val="4. רמה 1"/>
    <w:next w:val="BodyText"/>
    <w:link w:val="410"/>
    <w:qFormat/>
    <w:rsid w:val="00EB3D5E"/>
    <w:pPr>
      <w:spacing w:after="0" w:line="360" w:lineRule="auto"/>
      <w:jc w:val="both"/>
      <w:outlineLvl w:val="0"/>
    </w:pPr>
    <w:rPr>
      <w:rFonts w:ascii="David" w:eastAsia="Times New Roman" w:hAnsi="David" w:cs="David"/>
      <w:b/>
      <w:bCs/>
      <w:sz w:val="28"/>
      <w:szCs w:val="28"/>
      <w:u w:val="single"/>
    </w:rPr>
  </w:style>
  <w:style w:type="paragraph" w:styleId="ListParagraph">
    <w:name w:val="List Paragraph"/>
    <w:basedOn w:val="Normal"/>
    <w:link w:val="ListParagraphChar"/>
    <w:uiPriority w:val="34"/>
    <w:qFormat/>
    <w:rsid w:val="00EB3D5E"/>
    <w:pPr>
      <w:ind w:left="720"/>
      <w:contextualSpacing/>
    </w:pPr>
  </w:style>
  <w:style w:type="paragraph" w:styleId="BodyText">
    <w:name w:val="Body Text"/>
    <w:basedOn w:val="Normal"/>
    <w:link w:val="BodyTextChar"/>
    <w:uiPriority w:val="99"/>
    <w:unhideWhenUsed/>
    <w:rsid w:val="00EB3D5E"/>
  </w:style>
  <w:style w:type="character" w:customStyle="1" w:styleId="BodyTextChar">
    <w:name w:val="Body Text Char"/>
    <w:basedOn w:val="DefaultParagraphFont"/>
    <w:link w:val="BodyText"/>
    <w:uiPriority w:val="99"/>
    <w:rsid w:val="00EB3D5E"/>
    <w:rPr>
      <w:rFonts w:ascii="David" w:eastAsia="Times New Roman" w:hAnsi="David" w:cs="David"/>
      <w:sz w:val="24"/>
      <w:szCs w:val="24"/>
    </w:rPr>
  </w:style>
  <w:style w:type="character" w:customStyle="1" w:styleId="410">
    <w:name w:val="4. רמה 1 תו"/>
    <w:basedOn w:val="DefaultParagraphFont"/>
    <w:link w:val="41"/>
    <w:rsid w:val="00EB3D5E"/>
    <w:rPr>
      <w:rFonts w:ascii="David" w:eastAsia="Times New Roman" w:hAnsi="David" w:cs="David"/>
      <w:b/>
      <w:bCs/>
      <w:sz w:val="28"/>
      <w:szCs w:val="28"/>
      <w:u w:val="single"/>
    </w:rPr>
  </w:style>
  <w:style w:type="paragraph" w:styleId="FootnoteText">
    <w:name w:val="footnote text"/>
    <w:basedOn w:val="Normal"/>
    <w:link w:val="FootnoteTextChar"/>
    <w:uiPriority w:val="99"/>
    <w:unhideWhenUsed/>
    <w:rsid w:val="00EB3D5E"/>
    <w:pPr>
      <w:spacing w:after="0" w:line="240" w:lineRule="auto"/>
    </w:pPr>
    <w:rPr>
      <w:sz w:val="20"/>
      <w:szCs w:val="20"/>
    </w:rPr>
  </w:style>
  <w:style w:type="character" w:customStyle="1" w:styleId="FootnoteTextChar">
    <w:name w:val="Footnote Text Char"/>
    <w:basedOn w:val="DefaultParagraphFont"/>
    <w:link w:val="FootnoteText"/>
    <w:uiPriority w:val="99"/>
    <w:rsid w:val="00EB3D5E"/>
    <w:rPr>
      <w:rFonts w:ascii="David" w:eastAsia="Times New Roman" w:hAnsi="David" w:cs="David"/>
      <w:sz w:val="20"/>
      <w:szCs w:val="20"/>
    </w:rPr>
  </w:style>
  <w:style w:type="character" w:styleId="FootnoteReference">
    <w:name w:val="footnote reference"/>
    <w:basedOn w:val="DefaultParagraphFont"/>
    <w:uiPriority w:val="99"/>
    <w:unhideWhenUsed/>
    <w:rsid w:val="00EB3D5E"/>
    <w:rPr>
      <w:vertAlign w:val="superscript"/>
    </w:rPr>
  </w:style>
  <w:style w:type="paragraph" w:styleId="Header">
    <w:name w:val="header"/>
    <w:basedOn w:val="Normal"/>
    <w:link w:val="HeaderChar"/>
    <w:uiPriority w:val="99"/>
    <w:rsid w:val="00EB3D5E"/>
    <w:pPr>
      <w:tabs>
        <w:tab w:val="center" w:pos="4153"/>
        <w:tab w:val="right" w:pos="8306"/>
      </w:tabs>
      <w:jc w:val="right"/>
    </w:pPr>
  </w:style>
  <w:style w:type="character" w:customStyle="1" w:styleId="HeaderChar">
    <w:name w:val="Header Char"/>
    <w:basedOn w:val="DefaultParagraphFont"/>
    <w:link w:val="Header"/>
    <w:uiPriority w:val="99"/>
    <w:rsid w:val="00EB3D5E"/>
    <w:rPr>
      <w:rFonts w:ascii="David" w:eastAsia="Times New Roman" w:hAnsi="David" w:cs="David"/>
      <w:sz w:val="24"/>
      <w:szCs w:val="24"/>
    </w:rPr>
  </w:style>
  <w:style w:type="paragraph" w:styleId="Footer">
    <w:name w:val="footer"/>
    <w:basedOn w:val="Normal"/>
    <w:link w:val="FooterChar"/>
    <w:uiPriority w:val="99"/>
    <w:rsid w:val="00EB3D5E"/>
    <w:pPr>
      <w:tabs>
        <w:tab w:val="center" w:pos="4153"/>
        <w:tab w:val="right" w:pos="8306"/>
      </w:tabs>
      <w:jc w:val="right"/>
    </w:pPr>
  </w:style>
  <w:style w:type="character" w:customStyle="1" w:styleId="FooterChar">
    <w:name w:val="Footer Char"/>
    <w:basedOn w:val="DefaultParagraphFont"/>
    <w:link w:val="Footer"/>
    <w:uiPriority w:val="99"/>
    <w:rsid w:val="00EB3D5E"/>
    <w:rPr>
      <w:rFonts w:ascii="David" w:eastAsia="Times New Roman" w:hAnsi="David" w:cs="David"/>
      <w:sz w:val="24"/>
      <w:szCs w:val="24"/>
    </w:rPr>
  </w:style>
  <w:style w:type="character" w:styleId="PageNumber">
    <w:name w:val="page number"/>
    <w:basedOn w:val="DefaultParagraphFont"/>
    <w:rsid w:val="00EB3D5E"/>
  </w:style>
  <w:style w:type="paragraph" w:customStyle="1" w:styleId="1">
    <w:name w:val="1. מספור"/>
    <w:basedOn w:val="BodyText"/>
    <w:link w:val="10"/>
    <w:qFormat/>
    <w:rsid w:val="00EB3D5E"/>
    <w:pPr>
      <w:numPr>
        <w:numId w:val="1"/>
      </w:numPr>
    </w:pPr>
  </w:style>
  <w:style w:type="character" w:customStyle="1" w:styleId="ListParagraphChar">
    <w:name w:val="List Paragraph Char"/>
    <w:basedOn w:val="DefaultParagraphFont"/>
    <w:link w:val="ListParagraph"/>
    <w:uiPriority w:val="34"/>
    <w:rsid w:val="00EB3D5E"/>
    <w:rPr>
      <w:rFonts w:ascii="David" w:eastAsia="Times New Roman" w:hAnsi="David" w:cs="David"/>
      <w:sz w:val="24"/>
      <w:szCs w:val="24"/>
    </w:rPr>
  </w:style>
  <w:style w:type="character" w:customStyle="1" w:styleId="10">
    <w:name w:val="1. מספור תו"/>
    <w:basedOn w:val="DefaultParagraphFont"/>
    <w:link w:val="1"/>
    <w:rsid w:val="00EB3D5E"/>
    <w:rPr>
      <w:rFonts w:ascii="David" w:eastAsia="Times New Roman" w:hAnsi="David" w:cs="David"/>
      <w:sz w:val="24"/>
      <w:szCs w:val="24"/>
    </w:rPr>
  </w:style>
  <w:style w:type="character" w:styleId="CommentReference">
    <w:name w:val="annotation reference"/>
    <w:basedOn w:val="DefaultParagraphFont"/>
    <w:uiPriority w:val="99"/>
    <w:semiHidden/>
    <w:unhideWhenUsed/>
    <w:rsid w:val="00EB3D5E"/>
    <w:rPr>
      <w:sz w:val="16"/>
      <w:szCs w:val="16"/>
    </w:rPr>
  </w:style>
  <w:style w:type="paragraph" w:styleId="BalloonText">
    <w:name w:val="Balloon Text"/>
    <w:basedOn w:val="Normal"/>
    <w:link w:val="BalloonTextChar"/>
    <w:uiPriority w:val="99"/>
    <w:semiHidden/>
    <w:unhideWhenUsed/>
    <w:rsid w:val="00EB3D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3D5E"/>
    <w:rPr>
      <w:rFonts w:ascii="Tahoma" w:eastAsia="Times New Roman" w:hAnsi="Tahoma" w:cs="Tahoma"/>
      <w:sz w:val="16"/>
      <w:szCs w:val="16"/>
    </w:rPr>
  </w:style>
  <w:style w:type="paragraph" w:styleId="Title">
    <w:name w:val="Title"/>
    <w:basedOn w:val="Normal"/>
    <w:next w:val="Normal"/>
    <w:link w:val="TitleChar"/>
    <w:uiPriority w:val="10"/>
    <w:qFormat/>
    <w:rsid w:val="002C2ED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C2ED3"/>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2C2ED3"/>
    <w:rPr>
      <w:rFonts w:asciiTheme="majorHAnsi" w:eastAsiaTheme="majorEastAsia" w:hAnsiTheme="majorHAnsi" w:cs="David"/>
      <w:b/>
      <w:bCs/>
      <w:sz w:val="28"/>
      <w:szCs w:val="28"/>
      <w:u w:val="single"/>
    </w:rPr>
  </w:style>
  <w:style w:type="character" w:customStyle="1" w:styleId="Heading2Char">
    <w:name w:val="Heading 2 Char"/>
    <w:basedOn w:val="DefaultParagraphFont"/>
    <w:link w:val="Heading2"/>
    <w:uiPriority w:val="9"/>
    <w:rsid w:val="002C2ED3"/>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D5E"/>
    <w:pPr>
      <w:bidi/>
      <w:spacing w:after="120" w:line="360" w:lineRule="auto"/>
      <w:jc w:val="both"/>
    </w:pPr>
    <w:rPr>
      <w:rFonts w:ascii="David" w:eastAsia="Times New Roman" w:hAnsi="David" w:cs="David"/>
      <w:sz w:val="24"/>
      <w:szCs w:val="24"/>
    </w:rPr>
  </w:style>
  <w:style w:type="paragraph" w:styleId="Heading1">
    <w:name w:val="heading 1"/>
    <w:basedOn w:val="Normal"/>
    <w:next w:val="Normal"/>
    <w:link w:val="Heading1Char"/>
    <w:uiPriority w:val="9"/>
    <w:qFormat/>
    <w:rsid w:val="002C2ED3"/>
    <w:pPr>
      <w:keepNext/>
      <w:keepLines/>
      <w:spacing w:before="480" w:after="0"/>
      <w:outlineLvl w:val="0"/>
    </w:pPr>
    <w:rPr>
      <w:rFonts w:asciiTheme="majorHAnsi" w:eastAsiaTheme="majorEastAsia" w:hAnsiTheme="majorHAnsi"/>
      <w:b/>
      <w:bCs/>
      <w:sz w:val="28"/>
      <w:szCs w:val="28"/>
      <w:u w:val="single"/>
    </w:rPr>
  </w:style>
  <w:style w:type="paragraph" w:styleId="Heading2">
    <w:name w:val="heading 2"/>
    <w:basedOn w:val="Normal"/>
    <w:next w:val="Normal"/>
    <w:link w:val="Heading2Char"/>
    <w:uiPriority w:val="9"/>
    <w:unhideWhenUsed/>
    <w:qFormat/>
    <w:rsid w:val="002C2ED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1">
    <w:name w:val="4. רמה 1"/>
    <w:next w:val="BodyText"/>
    <w:link w:val="410"/>
    <w:qFormat/>
    <w:rsid w:val="00EB3D5E"/>
    <w:pPr>
      <w:spacing w:after="0" w:line="360" w:lineRule="auto"/>
      <w:jc w:val="both"/>
      <w:outlineLvl w:val="0"/>
    </w:pPr>
    <w:rPr>
      <w:rFonts w:ascii="David" w:eastAsia="Times New Roman" w:hAnsi="David" w:cs="David"/>
      <w:b/>
      <w:bCs/>
      <w:sz w:val="28"/>
      <w:szCs w:val="28"/>
      <w:u w:val="single"/>
    </w:rPr>
  </w:style>
  <w:style w:type="paragraph" w:styleId="ListParagraph">
    <w:name w:val="List Paragraph"/>
    <w:basedOn w:val="Normal"/>
    <w:link w:val="ListParagraphChar"/>
    <w:uiPriority w:val="34"/>
    <w:qFormat/>
    <w:rsid w:val="00EB3D5E"/>
    <w:pPr>
      <w:ind w:left="720"/>
      <w:contextualSpacing/>
    </w:pPr>
  </w:style>
  <w:style w:type="paragraph" w:styleId="BodyText">
    <w:name w:val="Body Text"/>
    <w:basedOn w:val="Normal"/>
    <w:link w:val="BodyTextChar"/>
    <w:uiPriority w:val="99"/>
    <w:unhideWhenUsed/>
    <w:rsid w:val="00EB3D5E"/>
  </w:style>
  <w:style w:type="character" w:customStyle="1" w:styleId="BodyTextChar">
    <w:name w:val="Body Text Char"/>
    <w:basedOn w:val="DefaultParagraphFont"/>
    <w:link w:val="BodyText"/>
    <w:uiPriority w:val="99"/>
    <w:rsid w:val="00EB3D5E"/>
    <w:rPr>
      <w:rFonts w:ascii="David" w:eastAsia="Times New Roman" w:hAnsi="David" w:cs="David"/>
      <w:sz w:val="24"/>
      <w:szCs w:val="24"/>
    </w:rPr>
  </w:style>
  <w:style w:type="character" w:customStyle="1" w:styleId="410">
    <w:name w:val="4. רמה 1 תו"/>
    <w:basedOn w:val="DefaultParagraphFont"/>
    <w:link w:val="41"/>
    <w:rsid w:val="00EB3D5E"/>
    <w:rPr>
      <w:rFonts w:ascii="David" w:eastAsia="Times New Roman" w:hAnsi="David" w:cs="David"/>
      <w:b/>
      <w:bCs/>
      <w:sz w:val="28"/>
      <w:szCs w:val="28"/>
      <w:u w:val="single"/>
    </w:rPr>
  </w:style>
  <w:style w:type="paragraph" w:styleId="FootnoteText">
    <w:name w:val="footnote text"/>
    <w:basedOn w:val="Normal"/>
    <w:link w:val="FootnoteTextChar"/>
    <w:uiPriority w:val="99"/>
    <w:unhideWhenUsed/>
    <w:rsid w:val="00EB3D5E"/>
    <w:pPr>
      <w:spacing w:after="0" w:line="240" w:lineRule="auto"/>
    </w:pPr>
    <w:rPr>
      <w:sz w:val="20"/>
      <w:szCs w:val="20"/>
    </w:rPr>
  </w:style>
  <w:style w:type="character" w:customStyle="1" w:styleId="FootnoteTextChar">
    <w:name w:val="Footnote Text Char"/>
    <w:basedOn w:val="DefaultParagraphFont"/>
    <w:link w:val="FootnoteText"/>
    <w:uiPriority w:val="99"/>
    <w:rsid w:val="00EB3D5E"/>
    <w:rPr>
      <w:rFonts w:ascii="David" w:eastAsia="Times New Roman" w:hAnsi="David" w:cs="David"/>
      <w:sz w:val="20"/>
      <w:szCs w:val="20"/>
    </w:rPr>
  </w:style>
  <w:style w:type="character" w:styleId="FootnoteReference">
    <w:name w:val="footnote reference"/>
    <w:basedOn w:val="DefaultParagraphFont"/>
    <w:uiPriority w:val="99"/>
    <w:unhideWhenUsed/>
    <w:rsid w:val="00EB3D5E"/>
    <w:rPr>
      <w:vertAlign w:val="superscript"/>
    </w:rPr>
  </w:style>
  <w:style w:type="paragraph" w:styleId="Header">
    <w:name w:val="header"/>
    <w:basedOn w:val="Normal"/>
    <w:link w:val="HeaderChar"/>
    <w:uiPriority w:val="99"/>
    <w:rsid w:val="00EB3D5E"/>
    <w:pPr>
      <w:tabs>
        <w:tab w:val="center" w:pos="4153"/>
        <w:tab w:val="right" w:pos="8306"/>
      </w:tabs>
      <w:jc w:val="right"/>
    </w:pPr>
  </w:style>
  <w:style w:type="character" w:customStyle="1" w:styleId="HeaderChar">
    <w:name w:val="Header Char"/>
    <w:basedOn w:val="DefaultParagraphFont"/>
    <w:link w:val="Header"/>
    <w:uiPriority w:val="99"/>
    <w:rsid w:val="00EB3D5E"/>
    <w:rPr>
      <w:rFonts w:ascii="David" w:eastAsia="Times New Roman" w:hAnsi="David" w:cs="David"/>
      <w:sz w:val="24"/>
      <w:szCs w:val="24"/>
    </w:rPr>
  </w:style>
  <w:style w:type="paragraph" w:styleId="Footer">
    <w:name w:val="footer"/>
    <w:basedOn w:val="Normal"/>
    <w:link w:val="FooterChar"/>
    <w:uiPriority w:val="99"/>
    <w:rsid w:val="00EB3D5E"/>
    <w:pPr>
      <w:tabs>
        <w:tab w:val="center" w:pos="4153"/>
        <w:tab w:val="right" w:pos="8306"/>
      </w:tabs>
      <w:jc w:val="right"/>
    </w:pPr>
  </w:style>
  <w:style w:type="character" w:customStyle="1" w:styleId="FooterChar">
    <w:name w:val="Footer Char"/>
    <w:basedOn w:val="DefaultParagraphFont"/>
    <w:link w:val="Footer"/>
    <w:uiPriority w:val="99"/>
    <w:rsid w:val="00EB3D5E"/>
    <w:rPr>
      <w:rFonts w:ascii="David" w:eastAsia="Times New Roman" w:hAnsi="David" w:cs="David"/>
      <w:sz w:val="24"/>
      <w:szCs w:val="24"/>
    </w:rPr>
  </w:style>
  <w:style w:type="character" w:styleId="PageNumber">
    <w:name w:val="page number"/>
    <w:basedOn w:val="DefaultParagraphFont"/>
    <w:rsid w:val="00EB3D5E"/>
  </w:style>
  <w:style w:type="paragraph" w:customStyle="1" w:styleId="1">
    <w:name w:val="1. מספור"/>
    <w:basedOn w:val="BodyText"/>
    <w:link w:val="10"/>
    <w:qFormat/>
    <w:rsid w:val="00EB3D5E"/>
    <w:pPr>
      <w:numPr>
        <w:numId w:val="1"/>
      </w:numPr>
    </w:pPr>
  </w:style>
  <w:style w:type="character" w:customStyle="1" w:styleId="ListParagraphChar">
    <w:name w:val="List Paragraph Char"/>
    <w:basedOn w:val="DefaultParagraphFont"/>
    <w:link w:val="ListParagraph"/>
    <w:uiPriority w:val="34"/>
    <w:rsid w:val="00EB3D5E"/>
    <w:rPr>
      <w:rFonts w:ascii="David" w:eastAsia="Times New Roman" w:hAnsi="David" w:cs="David"/>
      <w:sz w:val="24"/>
      <w:szCs w:val="24"/>
    </w:rPr>
  </w:style>
  <w:style w:type="character" w:customStyle="1" w:styleId="10">
    <w:name w:val="1. מספור תו"/>
    <w:basedOn w:val="DefaultParagraphFont"/>
    <w:link w:val="1"/>
    <w:rsid w:val="00EB3D5E"/>
    <w:rPr>
      <w:rFonts w:ascii="David" w:eastAsia="Times New Roman" w:hAnsi="David" w:cs="David"/>
      <w:sz w:val="24"/>
      <w:szCs w:val="24"/>
    </w:rPr>
  </w:style>
  <w:style w:type="character" w:styleId="CommentReference">
    <w:name w:val="annotation reference"/>
    <w:basedOn w:val="DefaultParagraphFont"/>
    <w:uiPriority w:val="99"/>
    <w:semiHidden/>
    <w:unhideWhenUsed/>
    <w:rsid w:val="00EB3D5E"/>
    <w:rPr>
      <w:sz w:val="16"/>
      <w:szCs w:val="16"/>
    </w:rPr>
  </w:style>
  <w:style w:type="paragraph" w:styleId="BalloonText">
    <w:name w:val="Balloon Text"/>
    <w:basedOn w:val="Normal"/>
    <w:link w:val="BalloonTextChar"/>
    <w:uiPriority w:val="99"/>
    <w:semiHidden/>
    <w:unhideWhenUsed/>
    <w:rsid w:val="00EB3D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3D5E"/>
    <w:rPr>
      <w:rFonts w:ascii="Tahoma" w:eastAsia="Times New Roman" w:hAnsi="Tahoma" w:cs="Tahoma"/>
      <w:sz w:val="16"/>
      <w:szCs w:val="16"/>
    </w:rPr>
  </w:style>
  <w:style w:type="paragraph" w:styleId="Title">
    <w:name w:val="Title"/>
    <w:basedOn w:val="Normal"/>
    <w:next w:val="Normal"/>
    <w:link w:val="TitleChar"/>
    <w:uiPriority w:val="10"/>
    <w:qFormat/>
    <w:rsid w:val="002C2ED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C2ED3"/>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2C2ED3"/>
    <w:rPr>
      <w:rFonts w:asciiTheme="majorHAnsi" w:eastAsiaTheme="majorEastAsia" w:hAnsiTheme="majorHAnsi" w:cs="David"/>
      <w:b/>
      <w:bCs/>
      <w:sz w:val="28"/>
      <w:szCs w:val="28"/>
      <w:u w:val="single"/>
    </w:rPr>
  </w:style>
  <w:style w:type="character" w:customStyle="1" w:styleId="Heading2Char">
    <w:name w:val="Heading 2 Char"/>
    <w:basedOn w:val="DefaultParagraphFont"/>
    <w:link w:val="Heading2"/>
    <w:uiPriority w:val="9"/>
    <w:rsid w:val="002C2ED3"/>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61BCD-1E45-468C-A53B-EAC4701C2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932</Words>
  <Characters>4663</Characters>
  <Application>Microsoft Office Word</Application>
  <DocSecurity>4</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Rashut_doamin</Company>
  <LinksUpToDate>false</LinksUpToDate>
  <CharactersWithSpaces>5584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Hadas Winograd-Haber</dc:creator>
  <cp:lastModifiedBy>Melita Shafir</cp:lastModifiedBy>
  <cp:revision>2</cp:revision>
  <cp:lastPrinted>2018-06-26T07:09:00Z</cp:lastPrinted>
  <dcterms:created xsi:type="dcterms:W3CDTF">2018-06-26T13:20:00Z</dcterms:created>
  <dcterms:modified xsi:type="dcterms:W3CDTF">2018-06-26T13:20:00Z</dcterms:modified>
</cp:coreProperties>
</file>